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ascii="仿宋_GB2312" w:hAnsi="仿宋_GB2312" w:eastAsia="仿宋_GB2312" w:cs="仿宋_GB2312"/>
          <w:color w:val="000000" w:themeColor="text1"/>
          <w:sz w:val="30"/>
          <w:szCs w:val="30"/>
          <w:lang w:eastAsia="zh-CN"/>
          <w14:textFill>
            <w14:solidFill>
              <w14:schemeClr w14:val="tx1"/>
            </w14:solidFill>
          </w14:textFill>
        </w:rPr>
        <w:t>KM1：</w:t>
      </w:r>
      <w:bookmarkStart w:id="0" w:name="_GoBack"/>
      <w:r>
        <w:rPr>
          <w:rFonts w:hint="eastAsia" w:ascii="仿宋_GB2312" w:hAnsi="仿宋_GB2312" w:eastAsia="仿宋_GB2312" w:cs="仿宋_GB2312"/>
          <w:color w:val="000000" w:themeColor="text1"/>
          <w:sz w:val="30"/>
          <w:szCs w:val="30"/>
          <w:lang w:eastAsia="zh-CN"/>
          <w14:textFill>
            <w14:solidFill>
              <w14:schemeClr w14:val="tx1"/>
            </w14:solidFill>
          </w14:textFill>
        </w:rPr>
        <w:t>监管并表关键审慎监管指标</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单位：人民币亿元，百分比除外</w:t>
      </w:r>
    </w:p>
    <w:tbl>
      <w:tblPr>
        <w:tblStyle w:val="3"/>
        <w:tblW w:w="9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0"/>
        <w:gridCol w:w="5542"/>
        <w:gridCol w:w="2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6" w:hRule="atLeast"/>
        </w:trPr>
        <w:tc>
          <w:tcPr>
            <w:tcW w:w="6422" w:type="dxa"/>
            <w:gridSpan w:val="2"/>
            <w:vMerge w:val="restar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ascii="楷体_GB2312" w:hAnsi="宋体" w:eastAsia="楷体_GB2312" w:cs="楷体_GB2312"/>
                <w:b/>
                <w:i w:val="0"/>
                <w:color w:val="000000"/>
                <w:sz w:val="28"/>
                <w:szCs w:val="28"/>
                <w:u w:val="none"/>
              </w:rPr>
            </w:pPr>
            <w:r>
              <w:rPr>
                <w:rFonts w:hint="eastAsia" w:ascii="楷体_GB2312" w:hAnsi="宋体" w:eastAsia="楷体_GB2312" w:cs="楷体_GB2312"/>
                <w:b/>
                <w:i w:val="0"/>
                <w:color w:val="000000"/>
                <w:kern w:val="0"/>
                <w:sz w:val="28"/>
                <w:szCs w:val="28"/>
                <w:u w:val="none"/>
                <w:lang w:val="en-US" w:eastAsia="zh-CN" w:bidi="ar"/>
              </w:rPr>
              <w:t>项目</w:t>
            </w:r>
          </w:p>
        </w:tc>
        <w:tc>
          <w:tcPr>
            <w:tcW w:w="2958"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楷体_GB2312" w:hAnsi="宋体" w:eastAsia="楷体_GB2312" w:cs="楷体_GB2312"/>
                <w:b/>
                <w:i w:val="0"/>
                <w:color w:val="000000"/>
                <w:sz w:val="28"/>
                <w:szCs w:val="28"/>
                <w:u w:val="none"/>
                <w:lang w:val="en-US" w:eastAsia="zh-CN"/>
              </w:rPr>
            </w:pPr>
            <w:r>
              <w:rPr>
                <w:rFonts w:hint="eastAsia" w:ascii="楷体_GB2312" w:hAnsi="宋体" w:eastAsia="楷体_GB2312" w:cs="楷体_GB2312"/>
                <w:b/>
                <w:i w:val="0"/>
                <w:color w:val="000000"/>
                <w:sz w:val="28"/>
                <w:szCs w:val="28"/>
                <w:u w:val="none"/>
                <w:lang w:val="en-US" w:eastAsia="zh-CN"/>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6" w:hRule="atLeast"/>
        </w:trPr>
        <w:tc>
          <w:tcPr>
            <w:tcW w:w="6422" w:type="dxa"/>
            <w:gridSpan w:val="2"/>
            <w:vMerge w:val="continue"/>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楷体_GB2312" w:hAnsi="宋体" w:eastAsia="楷体_GB2312" w:cs="楷体_GB2312"/>
                <w:b/>
                <w:i w:val="0"/>
                <w:color w:val="000000"/>
                <w:sz w:val="28"/>
                <w:szCs w:val="28"/>
                <w:u w:val="none"/>
              </w:rPr>
            </w:pPr>
          </w:p>
        </w:tc>
        <w:tc>
          <w:tcPr>
            <w:tcW w:w="2958"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楷体_GB2312" w:hAnsi="宋体" w:eastAsia="楷体_GB2312" w:cs="楷体_GB2312"/>
                <w:b/>
                <w:i w:val="0"/>
                <w:color w:val="000000"/>
                <w:sz w:val="28"/>
                <w:szCs w:val="28"/>
                <w:u w:val="none"/>
              </w:rPr>
            </w:pPr>
            <w:r>
              <w:rPr>
                <w:rFonts w:hint="eastAsia" w:ascii="楷体_GB2312" w:hAnsi="宋体" w:eastAsia="楷体_GB2312" w:cs="楷体_GB2312"/>
                <w:b/>
                <w:i w:val="0"/>
                <w:color w:val="000000"/>
                <w:kern w:val="0"/>
                <w:sz w:val="28"/>
                <w:szCs w:val="28"/>
                <w:u w:val="none"/>
                <w:lang w:val="en-US" w:eastAsia="zh-CN" w:bidi="ar"/>
              </w:rPr>
              <w:t>2024年3月31日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9380" w:type="dxa"/>
            <w:gridSpan w:val="3"/>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可用资本（数额）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核心一级资本净额</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226.21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一级资本净额</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226.21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资本净额</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sz w:val="22"/>
                <w:szCs w:val="22"/>
                <w:u w:val="none"/>
              </w:rPr>
              <w:t>风险加权资产（数额）</w:t>
            </w:r>
          </w:p>
        </w:tc>
        <w:tc>
          <w:tcPr>
            <w:tcW w:w="2958" w:type="dxa"/>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风险加权资产合计</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2375.27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4a</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风险加权资产合计（应用资本底线前）</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2375.27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sz w:val="22"/>
                <w:szCs w:val="22"/>
                <w:u w:val="none"/>
              </w:rPr>
              <w:t>资本充足率</w:t>
            </w:r>
          </w:p>
        </w:tc>
        <w:tc>
          <w:tcPr>
            <w:tcW w:w="2958" w:type="dxa"/>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核心一级资本充足率（%）</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5a</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核心一级资本充足率（%）(应用资本底线前)</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一级资本充足率（%）</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6a</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一级资本充足率（%）（应用资本底线前）</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资本充足率（%）</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7a</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资本充足率（%）（应用资本底线前）</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sz w:val="22"/>
                <w:szCs w:val="22"/>
                <w:u w:val="none"/>
              </w:rPr>
              <w:t>其他各级资本要求</w:t>
            </w:r>
          </w:p>
        </w:tc>
        <w:tc>
          <w:tcPr>
            <w:tcW w:w="2958" w:type="dxa"/>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储备资本要求（%）</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9</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逆周期资本要求（%）</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10</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全球系统重要性银行或国内系统重要性银行附加资本要求（%）</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11</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其他各级资本要求（%）（8+9+10）</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满足最低资本要求后的可用核心一级资本净额占风险加权资产的比例（%）</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sz w:val="22"/>
                <w:szCs w:val="22"/>
                <w:u w:val="none"/>
              </w:rPr>
              <w:t>杠杆率</w:t>
            </w:r>
          </w:p>
        </w:tc>
        <w:tc>
          <w:tcPr>
            <w:tcW w:w="2958" w:type="dxa"/>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13</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调整后表内外资产余额</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14</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杠杆率（%）</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14a</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杠杆率a（%）</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14b</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杠杆率b（%）</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14c</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杠杆率c（%）</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sz w:val="22"/>
                <w:szCs w:val="22"/>
                <w:u w:val="none"/>
              </w:rPr>
              <w:t>流动性覆盖率</w:t>
            </w:r>
          </w:p>
        </w:tc>
        <w:tc>
          <w:tcPr>
            <w:tcW w:w="2958" w:type="dxa"/>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15</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合格优质流动性资产</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16</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现金净流出量</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17</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流动性覆盖率（%）</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outlineLvl w:val="9"/>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sz w:val="22"/>
                <w:szCs w:val="22"/>
                <w:u w:val="none"/>
              </w:rPr>
              <w:t>净稳定资金比例</w:t>
            </w:r>
          </w:p>
        </w:tc>
        <w:tc>
          <w:tcPr>
            <w:tcW w:w="2958" w:type="dxa"/>
            <w:tcBorders>
              <w:top w:val="single" w:color="000000" w:sz="4" w:space="0"/>
              <w:left w:val="single" w:color="000000" w:sz="4" w:space="0"/>
              <w:bottom w:val="single" w:color="000000" w:sz="4" w:space="0"/>
              <w:right w:val="single" w:color="000000" w:sz="4" w:space="0"/>
            </w:tcBorders>
            <w:shd w:val="clear" w:color="auto" w:fill="D9D9D9"/>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18</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可用稳定资金合计</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2216.14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所需稳定资金合计</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1468.06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2"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20</w:t>
            </w:r>
          </w:p>
        </w:tc>
        <w:tc>
          <w:tcPr>
            <w:tcW w:w="5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净稳定资金比例（%）</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150.96</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隶书">
    <w:altName w:val="微软雅黑"/>
    <w:panose1 w:val="02010509060101010101"/>
    <w:charset w:val="86"/>
    <w:family w:val="auto"/>
    <w:pitch w:val="default"/>
    <w:sig w:usb0="00000000" w:usb1="00000000" w:usb2="00000000" w:usb3="00000000" w:csb0="00040000" w:csb1="00000000"/>
  </w:font>
  <w:font w:name="Harrington">
    <w:altName w:val="Gabriola"/>
    <w:panose1 w:val="04040505050A02020702"/>
    <w:charset w:val="00"/>
    <w:family w:val="auto"/>
    <w:pitch w:val="default"/>
    <w:sig w:usb0="00000000" w:usb1="00000000" w:usb2="00000000" w:usb3="00000000" w:csb0="20000001" w:csb1="00000000"/>
  </w:font>
  <w:font w:name="High Tower Text">
    <w:altName w:val="Palatino Linotype"/>
    <w:panose1 w:val="02040502050506030303"/>
    <w:charset w:val="00"/>
    <w:family w:val="auto"/>
    <w:pitch w:val="default"/>
    <w:sig w:usb0="00000000" w:usb1="00000000" w:usb2="00000000" w:usb3="00000000" w:csb0="20000001" w:csb1="00000000"/>
  </w:font>
  <w:font w:name="HoloLens MDL2 Assets">
    <w:panose1 w:val="050A0102010101010101"/>
    <w:charset w:val="00"/>
    <w:family w:val="auto"/>
    <w:pitch w:val="default"/>
    <w:sig w:usb0="00000000" w:usb1="10000000" w:usb2="00000000" w:usb3="00000000" w:csb0="00000001"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Noto Serif CJK JP">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1" w:csb1="00000000"/>
  </w:font>
  <w:font w:name="方正仿宋">
    <w:altName w:val="仿宋"/>
    <w:panose1 w:val="00000000000000000000"/>
    <w:charset w:val="86"/>
    <w:family w:val="script"/>
    <w:pitch w:val="default"/>
    <w:sig w:usb0="00000000" w:usb1="00000000" w:usb2="00000010" w:usb3="00000000" w:csb0="00040000" w:csb1="00000000"/>
  </w:font>
  <w:font w:name="方正黑体">
    <w:altName w:val="黑体"/>
    <w:panose1 w:val="00000000000000000000"/>
    <w:charset w:val="86"/>
    <w:family w:val="script"/>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DejaVu Sans">
    <w:altName w:val="Times New Roman"/>
    <w:panose1 w:val="00000000000000000000"/>
    <w:charset w:val="00"/>
    <w:family w:val="roman"/>
    <w:pitch w:val="default"/>
    <w:sig w:usb0="00000000" w:usb1="00000000" w:usb2="00000008" w:usb3="00000000" w:csb0="000001FF" w:csb1="00000000"/>
  </w:font>
  <w:font w:name="方正黑体_GBK">
    <w:altName w:val="微软雅黑"/>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楷体_GBK">
    <w:altName w:val="微软雅黑"/>
    <w:panose1 w:val="02000000000000000000"/>
    <w:charset w:val="86"/>
    <w:family w:val="auto"/>
    <w:pitch w:val="default"/>
    <w:sig w:usb0="00000000" w:usb1="00000000" w:usb2="00000016" w:usb3="00000000" w:csb0="00040000" w:csb1="00000000"/>
  </w:font>
  <w:font w:name="N">
    <w:altName w:val="Segoe Print"/>
    <w:panose1 w:val="00000000000000000000"/>
    <w:charset w:val="00"/>
    <w:family w:val="auto"/>
    <w:pitch w:val="default"/>
    <w:sig w:usb0="00000000" w:usb1="00000000" w:usb2="00000000" w:usb3="00000000" w:csb0="00000000" w:csb1="00000000"/>
  </w:font>
  <w:font w:name="Niagara Engraved">
    <w:altName w:val="Gabriola"/>
    <w:panose1 w:val="04020502070703030202"/>
    <w:charset w:val="00"/>
    <w:family w:val="auto"/>
    <w:pitch w:val="default"/>
    <w:sig w:usb0="00000000" w:usb1="00000000" w:usb2="00000000" w:usb3="00000000" w:csb0="20000001" w:csb1="00000000"/>
  </w:font>
  <w:font w:name="NE">
    <w:altName w:val="Segoe Print"/>
    <w:panose1 w:val="00000000000000000000"/>
    <w:charset w:val="00"/>
    <w:family w:val="auto"/>
    <w:pitch w:val="default"/>
    <w:sig w:usb0="00000000" w:usb1="00000000" w:usb2="00000000" w:usb3="00000000" w:csb0="00000000" w:csb1="00000000"/>
  </w:font>
  <w:font w:name="NEW">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Bold">
    <w:altName w:val="Arial"/>
    <w:panose1 w:val="020B0704020202020204"/>
    <w:charset w:val="00"/>
    <w:family w:val="roman"/>
    <w:pitch w:val="default"/>
    <w:sig w:usb0="00000000" w:usb1="00000000" w:usb2="00000001" w:usb3="00000000" w:csb0="400001BF" w:csb1="DFF70000"/>
  </w:font>
  <w:font w:name="..A">
    <w:altName w:val="宋体"/>
    <w:panose1 w:val="00000000000000000000"/>
    <w:charset w:val="86"/>
    <w:family w:val="roman"/>
    <w:pitch w:val="default"/>
    <w:sig w:usb0="00000000" w:usb1="00000000" w:usb2="00000010" w:usb3="00000000" w:csb0="00040000" w:csb1="00000000"/>
  </w:font>
  <w:font w:name="Calibri">
    <w:panose1 w:val="020F0502020204030204"/>
    <w:charset w:val="86"/>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DejaVu Math TeX Gyre">
    <w:altName w:val="Corbel"/>
    <w:panose1 w:val="02000503000000000000"/>
    <w:charset w:val="00"/>
    <w:family w:val="auto"/>
    <w:pitch w:val="default"/>
    <w:sig w:usb0="00000000" w:usb1="00000000" w:usb2="02000000" w:usb3="00000000" w:csb0="60000193" w:csb1="0DD40000"/>
  </w:font>
  <w:font w:name="Arial Unicode MS">
    <w:altName w:val="Arial"/>
    <w:panose1 w:val="020B0604020202020204"/>
    <w:charset w:val="80"/>
    <w:family w:val="swiss"/>
    <w:pitch w:val="default"/>
    <w:sig w:usb0="00000000" w:usb1="00000000" w:usb2="0000003F" w:usb3="00000000" w:csb0="603F01FF" w:csb1="FFFF0000"/>
  </w:font>
  <w:font w:name="Noto Naskh Arabic">
    <w:altName w:val="Segoe Print"/>
    <w:panose1 w:val="020B0502040504020204"/>
    <w:charset w:val="00"/>
    <w:family w:val="auto"/>
    <w:pitch w:val="default"/>
    <w:sig w:usb0="00000000" w:usb1="00000000" w:usb2="00000008" w:usb3="00000000" w:csb0="00000041" w:csb1="00080000"/>
  </w:font>
  <w:font w:name="PMingLiU">
    <w:altName w:val="PMingLiU-ExtB"/>
    <w:panose1 w:val="02020500000000000000"/>
    <w:charset w:val="88"/>
    <w:family w:val="roman"/>
    <w:pitch w:val="default"/>
    <w:sig w:usb0="00000000" w:usb1="00000000" w:usb2="00000016" w:usb3="00000000" w:csb0="00100001" w:csb1="00000000"/>
  </w:font>
  <w:font w:name="Noto Sans CJK SC">
    <w:altName w:val="宋体"/>
    <w:panose1 w:val="020B0500000000000000"/>
    <w:charset w:val="86"/>
    <w:family w:val="auto"/>
    <w:pitch w:val="default"/>
    <w:sig w:usb0="00000000" w:usb1="00000000" w:usb2="00000016" w:usb3="00000000" w:csb0="602E0107" w:csb1="00000000"/>
  </w:font>
  <w:font w:name="MingLiU">
    <w:altName w:val="PMingLiU-ExtB"/>
    <w:panose1 w:val="02020509000000000000"/>
    <w:charset w:val="88"/>
    <w:family w:val="moder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NanumGothic">
    <w:altName w:val="Malgun Gothic"/>
    <w:panose1 w:val="020D0604000000000000"/>
    <w:charset w:val="81"/>
    <w:family w:val="auto"/>
    <w:pitch w:val="default"/>
    <w:sig w:usb0="00000000" w:usb1="00000000" w:usb2="00000010" w:usb3="00000000" w:csb0="00080001" w:csb1="00000000"/>
  </w:font>
  <w:font w:name="Corbel">
    <w:panose1 w:val="020B0503020204020204"/>
    <w:charset w:val="00"/>
    <w:family w:val="auto"/>
    <w:pitch w:val="default"/>
    <w:sig w:usb0="A00002EF" w:usb1="4000A44B" w:usb2="00000000" w:usb3="00000000" w:csb0="2000019F"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Univers 45 Light">
    <w:altName w:val="Calibri"/>
    <w:panose1 w:val="00000000000000000000"/>
    <w:charset w:val="00"/>
    <w:family w:val="auto"/>
    <w:pitch w:val="default"/>
    <w:sig w:usb0="00000000" w:usb1="00000000" w:usb2="00000000" w:usb3="00000000" w:csb0="00000001" w:csb1="00000000"/>
  </w:font>
  <w:font w:name="Univers 55">
    <w:altName w:val="Verdana"/>
    <w:panose1 w:val="02000000000000000000"/>
    <w:charset w:val="00"/>
    <w:family w:val="auto"/>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Wide Latin">
    <w:altName w:val="Segoe Print"/>
    <w:panose1 w:val="020A0A07050505020404"/>
    <w:charset w:val="00"/>
    <w:family w:val="auto"/>
    <w:pitch w:val="default"/>
    <w:sig w:usb0="00000000" w:usb1="00000000" w:usb2="00000000" w:usb3="00000000" w:csb0="20000001" w:csb1="00000000"/>
  </w:font>
  <w:font w:name="syIconfont">
    <w:altName w:val="Segoe Print"/>
    <w:panose1 w:val="00000000000000000000"/>
    <w:charset w:val="00"/>
    <w:family w:val="auto"/>
    <w:pitch w:val="default"/>
    <w:sig w:usb0="00000000" w:usb1="00000000" w:usb2="00000000" w:usb3="00000000" w:csb0="00000000" w:csb1="00000000"/>
  </w:font>
  <w:font w:name="思源黑体">
    <w:altName w:val="宋体"/>
    <w:panose1 w:val="00000000000000000000"/>
    <w:charset w:val="86"/>
    <w:family w:val="roman"/>
    <w:pitch w:val="default"/>
    <w:sig w:usb0="00000000" w:usb1="00000000" w:usb2="00000010" w:usb3="00000000" w:csb0="00040000" w:csb1="00000000"/>
  </w:font>
  <w:font w:name="Gabriola">
    <w:panose1 w:val="04040605051002020D02"/>
    <w:charset w:val="00"/>
    <w:family w:val="auto"/>
    <w:pitch w:val="default"/>
    <w:sig w:usb0="E00002EF" w:usb1="5000204B" w:usb2="00000000" w:usb3="00000000" w:csb0="2000009F" w:csb1="00000000"/>
  </w:font>
  <w:font w:name="Palatino Linotype">
    <w:panose1 w:val="02040502050505030304"/>
    <w:charset w:val="00"/>
    <w:family w:val="auto"/>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A51D7"/>
    <w:rsid w:val="296A51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0" w:firstLineChars="200"/>
      <w:jc w:val="both"/>
    </w:pPr>
    <w:rPr>
      <w:rFonts w:ascii="Times New Roman" w:hAnsi="Times New Roman" w:eastAsia="仿宋_GB2312" w:cs="Times New Roman"/>
      <w:kern w:val="2"/>
      <w:sz w:val="32"/>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2024-04-30T07:49:00Z</dcterms:created>
  <dc:creator>续晋轩</dc:creator>
  <cp:lastModifiedBy>续晋轩</cp:lastModifiedBy>
  <dcterms:modified xsi:type="dcterms:W3CDTF">2024-04-30T07:49:29Z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