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rPr>
          <w:rFonts w:hint="default" w:ascii="Times New Roman" w:hAnsi="Times New Roman" w:cs="Times New Roman"/>
          <w:lang w:val="en-US" w:eastAsia="zh-CN"/>
        </w:rPr>
      </w:pPr>
    </w:p>
    <w:p>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山</w:t>
      </w:r>
      <w:bookmarkStart w:id="0" w:name="OLE_LINK4"/>
      <w:r>
        <w:rPr>
          <w:rFonts w:hint="default" w:ascii="Times New Roman" w:hAnsi="Times New Roman" w:eastAsia="方正小标宋简体" w:cs="Times New Roman"/>
          <w:sz w:val="44"/>
          <w:szCs w:val="44"/>
          <w:lang w:val="en-US" w:eastAsia="zh-CN"/>
        </w:rPr>
        <w:t>西银行2023年度财务等重大信息</w:t>
      </w:r>
    </w:p>
    <w:p>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公开报告</w:t>
      </w:r>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Times New Roman"/>
          <w:lang w:eastAsia="zh-CN"/>
        </w:rPr>
      </w:pPr>
      <w:r>
        <w:rPr>
          <w:rFonts w:hint="default" w:ascii="Times New Roman" w:hAnsi="Times New Roman" w:eastAsia="黑体" w:cs="Times New Roman"/>
        </w:rPr>
        <w:t>一、企业基本情况</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中文名称</w:t>
      </w:r>
      <w:r>
        <w:rPr>
          <w:rFonts w:hint="default" w:ascii="Times New Roman" w:hAnsi="Times New Roman" w:cs="Times New Roman"/>
          <w:lang w:val="en-US" w:eastAsia="zh-CN"/>
        </w:rPr>
        <w:t>及简称</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中文名称：山西银行股份有限公司</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简称：山西银行</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英文名称</w:t>
      </w:r>
      <w:r>
        <w:rPr>
          <w:rFonts w:hint="default" w:ascii="Times New Roman" w:hAnsi="Times New Roman" w:cs="Times New Roman"/>
          <w:lang w:val="en-US" w:eastAsia="zh-CN"/>
        </w:rPr>
        <w:t>及缩写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lang w:val="en-US" w:eastAsia="zh-CN"/>
        </w:rPr>
        <w:t>SHANXI BANK CO., LTD.</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法定代表人：</w:t>
      </w:r>
      <w:r>
        <w:rPr>
          <w:rFonts w:hint="default" w:ascii="Times New Roman" w:hAnsi="Times New Roman" w:cs="Times New Roman"/>
          <w:lang w:val="en-US" w:eastAsia="zh-CN"/>
        </w:rPr>
        <w:t>高计亮</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股东名称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1.山西融金兴晋私募投资基金合伙企业（有限合伙）持有股份153</w:t>
      </w:r>
      <w:r>
        <w:rPr>
          <w:rFonts w:hint="default" w:ascii="Times New Roman" w:hAnsi="Times New Roman" w:cs="Times New Roman"/>
          <w:lang w:val="en-US" w:eastAsia="zh-CN"/>
        </w:rPr>
        <w:t>亿</w:t>
      </w:r>
      <w:r>
        <w:rPr>
          <w:rFonts w:hint="default" w:ascii="Times New Roman" w:hAnsi="Times New Roman" w:cs="Times New Roman"/>
        </w:rPr>
        <w:t>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2.山煤国际能源集团股份有限公司等285户法人股东，持有股份102.65亿股；</w:t>
      </w:r>
    </w:p>
    <w:p>
      <w:pPr>
        <w:keepNext w:val="0"/>
        <w:keepLines w:val="0"/>
        <w:pageBreakBefore w:val="0"/>
        <w:widowControl w:val="0"/>
        <w:kinsoku/>
        <w:wordWrap/>
        <w:overflowPunct/>
        <w:topLinePunct w:val="0"/>
        <w:autoSpaceDE/>
        <w:autoSpaceDN/>
        <w:bidi w:val="0"/>
        <w:adjustRightInd/>
        <w:snapToGrid/>
        <w:spacing w:line="560" w:lineRule="exact"/>
        <w:ind w:left="640" w:leftChars="200" w:right="0" w:rightChars="0" w:firstLine="0" w:firstLineChars="0"/>
        <w:jc w:val="both"/>
        <w:textAlignment w:val="auto"/>
        <w:outlineLvl w:val="9"/>
        <w:rPr>
          <w:rFonts w:hint="default" w:ascii="Times New Roman" w:hAnsi="Times New Roman" w:cs="Times New Roman"/>
        </w:rPr>
      </w:pPr>
      <w:r>
        <w:rPr>
          <w:rFonts w:hint="default" w:ascii="Times New Roman" w:hAnsi="Times New Roman" w:cs="Times New Roman"/>
        </w:rPr>
        <w:t>3.张建国等2808个自然人股东，持有股份3.29亿股。（五）注册地址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lang w:val="en-US" w:eastAsia="zh-CN"/>
        </w:rPr>
        <w:t>山西转型综合改革示范区学府产业园高新街15号</w:t>
      </w:r>
      <w:r>
        <w:rPr>
          <w:rFonts w:hint="eastAsia" w:ascii="Times New Roman" w:hAnsi="Times New Roman" w:cs="Times New Roman"/>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经营范围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rPr>
        <w:t>吸收公众存款；发放短期、中期和长期贷款；办理国内外结算；办理票据的承兑与贴现；发行金融债券；代理发行、代理兑付、承销政府债券；买卖政府债券、金融债券；从事同业拆借；买卖、代理买卖外汇；从事银行卡业务；提供信用证服务及担保；代理收付款项及代理保险业务；提供保管箱服务；经国务院银行业监督管理机构等监管部门批准的其他业务。</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办公地址及邮政编码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1.</w:t>
      </w:r>
      <w:r>
        <w:rPr>
          <w:rFonts w:hint="default" w:ascii="Times New Roman" w:hAnsi="Times New Roman" w:eastAsia="仿宋_GB2312" w:cs="Times New Roman"/>
        </w:rPr>
        <w:t>办公地址</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山西转型综合改革示范区学府产业园高新街15号；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2.邮政编码：030006</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（八）网址：</w:t>
      </w:r>
      <w:r>
        <w:rPr>
          <w:rFonts w:hint="default" w:ascii="Times New Roman" w:hAnsi="Times New Roman" w:cs="Times New Roman"/>
          <w:lang w:val="en-US" w:eastAsia="zh-CN"/>
        </w:rPr>
        <w:t>https://www.shxibank.com/</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highlight w:val="none"/>
        </w:rPr>
      </w:pPr>
      <w:r>
        <w:rPr>
          <w:rFonts w:hint="default" w:ascii="Times New Roman" w:hAnsi="Times New Roman" w:cs="Times New Roman"/>
          <w:highlight w:val="none"/>
        </w:rPr>
        <w:t>（九）电子信箱</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shanxibank@shxibank.com</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cs="Times New Roman"/>
        </w:rPr>
        <w:t>（十）简介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本行是经国家金融监督管理总局（原中国银保监会）批准，于2021年4月28日挂牌开业，由山西省政府授权山西省财政厅履行出资人职责，通过新设合并方式设立的省属金融国有企业。</w:t>
      </w:r>
      <w:r>
        <w:rPr>
          <w:rFonts w:hint="default" w:ascii="Times New Roman" w:hAnsi="Times New Roman" w:cs="Times New Roman"/>
          <w:kern w:val="2"/>
          <w:sz w:val="32"/>
          <w:szCs w:val="32"/>
          <w:lang w:val="en-US" w:eastAsia="zh-CN" w:bidi="ar-SA"/>
        </w:rPr>
        <w:t>本行</w:t>
      </w:r>
      <w:r>
        <w:rPr>
          <w:rFonts w:hint="default" w:ascii="Times New Roman" w:hAnsi="Times New Roman" w:eastAsia="仿宋_GB2312" w:cs="Times New Roman"/>
          <w:kern w:val="2"/>
          <w:sz w:val="32"/>
          <w:szCs w:val="32"/>
          <w:lang w:val="en-US" w:eastAsia="zh-CN" w:bidi="ar-SA"/>
        </w:rPr>
        <w:t>注册资本为258.94亿元，员工</w:t>
      </w:r>
      <w:r>
        <w:rPr>
          <w:rFonts w:hint="default" w:ascii="Times New Roman" w:hAnsi="Times New Roman" w:cs="Times New Roman"/>
          <w:kern w:val="2"/>
          <w:sz w:val="32"/>
          <w:szCs w:val="32"/>
          <w:highlight w:val="none"/>
          <w:lang w:val="en-US" w:eastAsia="zh-CN" w:bidi="ar-SA"/>
        </w:rPr>
        <w:t>6400</w:t>
      </w:r>
      <w:r>
        <w:rPr>
          <w:rFonts w:hint="default" w:ascii="Times New Roman" w:hAnsi="Times New Roman" w:eastAsia="仿宋_GB2312" w:cs="Times New Roman"/>
          <w:kern w:val="2"/>
          <w:sz w:val="32"/>
          <w:szCs w:val="32"/>
          <w:lang w:val="en-US" w:eastAsia="zh-CN" w:bidi="ar-SA"/>
        </w:rPr>
        <w:t>余名，</w:t>
      </w:r>
      <w:r>
        <w:rPr>
          <w:rFonts w:hint="default" w:ascii="Times New Roman" w:hAnsi="Times New Roman" w:cs="Times New Roman"/>
          <w:color w:val="000000" w:themeColor="text1"/>
          <w:sz w:val="32"/>
          <w:szCs w:val="32"/>
          <w:lang w:val="en-US" w:eastAsia="zh-CN"/>
          <w14:textFill>
            <w14:solidFill>
              <w14:schemeClr w14:val="tx1"/>
            </w14:solidFill>
          </w14:textFill>
        </w:rPr>
        <w:t>营业网点</w:t>
      </w:r>
      <w:r>
        <w:rPr>
          <w:rFonts w:hint="default" w:ascii="Times New Roman" w:hAnsi="Times New Roman" w:cs="Times New Roman"/>
          <w:color w:val="auto"/>
          <w:sz w:val="32"/>
          <w:szCs w:val="32"/>
          <w:highlight w:val="none"/>
          <w:lang w:val="en-US" w:eastAsia="zh-CN"/>
        </w:rPr>
        <w:t>307</w:t>
      </w:r>
      <w:r>
        <w:rPr>
          <w:rFonts w:hint="default" w:ascii="Times New Roman" w:hAnsi="Times New Roman" w:eastAsia="仿宋_GB2312" w:cs="Times New Roman"/>
          <w:color w:val="000000" w:themeColor="text1"/>
          <w:sz w:val="32"/>
          <w:szCs w:val="32"/>
          <w14:textFill>
            <w14:solidFill>
              <w14:schemeClr w14:val="tx1"/>
            </w14:solidFill>
          </w14:textFill>
        </w:rPr>
        <w:t>家</w:t>
      </w:r>
      <w:r>
        <w:rPr>
          <w:rFonts w:hint="default" w:ascii="Times New Roman" w:hAnsi="Times New Roman" w:eastAsia="仿宋_GB2312" w:cs="Times New Roman"/>
          <w:kern w:val="2"/>
          <w:sz w:val="32"/>
          <w:szCs w:val="32"/>
          <w:lang w:val="en-US" w:eastAsia="zh-CN" w:bidi="ar-SA"/>
        </w:rPr>
        <w:t>，遍布全省10个地市、23个区、36个县。</w:t>
      </w:r>
      <w:bookmarkStart w:id="1" w:name="OLE_LINK1"/>
      <w:r>
        <w:rPr>
          <w:rFonts w:hint="default" w:ascii="Times New Roman" w:hAnsi="Times New Roman" w:cs="Times New Roman"/>
          <w:kern w:val="2"/>
          <w:sz w:val="32"/>
          <w:szCs w:val="32"/>
          <w:lang w:val="en-US" w:eastAsia="zh-CN" w:bidi="ar-SA"/>
        </w:rPr>
        <w:t>本行</w:t>
      </w:r>
      <w:r>
        <w:rPr>
          <w:rFonts w:hint="default" w:ascii="Times New Roman" w:hAnsi="Times New Roman" w:eastAsia="仿宋_GB2312" w:cs="Times New Roman"/>
          <w:kern w:val="2"/>
          <w:sz w:val="32"/>
          <w:szCs w:val="32"/>
          <w:lang w:val="en-US" w:eastAsia="zh-CN" w:bidi="ar-SA"/>
        </w:rPr>
        <w:t>紧紧围绕省委、省政府决策部署，坚守“服务地方经济、服务中小企业、服务城乡居民”的市场定位，秉承“为公、恒信、义利、共融”的核心价值观，充分发挥点多面广的服务优势、独立法人的效能优势、省级银行的竞争优势，</w:t>
      </w:r>
      <w:r>
        <w:rPr>
          <w:rFonts w:hint="default" w:ascii="Times New Roman" w:hAnsi="Times New Roman" w:cs="Times New Roman"/>
          <w:lang w:val="en-US" w:eastAsia="zh-CN"/>
        </w:rPr>
        <w:t>为全省各级政府、企事业单位、城乡居民提供多样化金融服务，全方位推动地方经济高质量发展。</w:t>
      </w:r>
      <w:bookmarkEnd w:id="1"/>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rPr>
        <w:t>二、</w:t>
      </w:r>
      <w:r>
        <w:rPr>
          <w:rFonts w:hint="default" w:ascii="Times New Roman" w:hAnsi="Times New Roman" w:eastAsia="黑体" w:cs="Times New Roman"/>
          <w:color w:val="000000"/>
          <w:kern w:val="0"/>
          <w:sz w:val="32"/>
          <w:szCs w:val="32"/>
        </w:rPr>
        <w:t>主要财务数据、财务指标和审计报告摘要</w:t>
      </w:r>
      <w:r>
        <w:rPr>
          <w:rFonts w:hint="default" w:ascii="Times New Roman" w:hAnsi="Times New Roman" w:eastAsia="黑体" w:cs="Times New Roman"/>
          <w:sz w:val="32"/>
          <w:szCs w:val="32"/>
        </w:rPr>
        <w:t>（审计后</w:t>
      </w:r>
      <w:r>
        <w:rPr>
          <w:rFonts w:hint="default" w:ascii="Times New Roman" w:hAnsi="Times New Roman" w:eastAsia="黑体" w:cs="Times New Roman"/>
          <w:sz w:val="32"/>
          <w:szCs w:val="32"/>
          <w:lang w:val="en-US" w:eastAsia="zh-CN"/>
        </w:rPr>
        <w:t>合并口径）</w:t>
      </w:r>
    </w:p>
    <w:tbl>
      <w:tblPr>
        <w:tblStyle w:val="13"/>
        <w:tblW w:w="7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24"/>
        <w:gridCol w:w="3504"/>
        <w:gridCol w:w="35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序号</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项目</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金额（人民币，千元）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资产总额</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356,329,577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负债总额</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333,435,066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所有者权益总额</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22,894,511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应收账款</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4,008,680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应付账款</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475,598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固定资产</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2,800,663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应交税费</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153,052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营业收入</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3,154,085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业务及管理费</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2,530,569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9"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利润总额</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831,564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2" w:hRule="atLeast"/>
          <w:jc w:val="center"/>
        </w:trPr>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3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净利润</w:t>
            </w:r>
          </w:p>
        </w:tc>
        <w:tc>
          <w:tcPr>
            <w:tcW w:w="3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831,564</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lang w:val="en-US" w:eastAsia="zh-CN"/>
        </w:rPr>
        <w:t>毕马威华振会计事务所（特殊普通合伙）</w:t>
      </w:r>
      <w:r>
        <w:rPr>
          <w:rFonts w:hint="default" w:ascii="Times New Roman" w:hAnsi="Times New Roman" w:eastAsia="仿宋_GB2312" w:cs="Times New Roman"/>
          <w:color w:val="000000"/>
          <w:kern w:val="0"/>
          <w:sz w:val="32"/>
          <w:szCs w:val="32"/>
          <w:lang w:val="en-US" w:eastAsia="zh-CN"/>
        </w:rPr>
        <w:t>对我行202</w:t>
      </w:r>
      <w:r>
        <w:rPr>
          <w:rFonts w:hint="default" w:ascii="Times New Roman" w:hAnsi="Times New Roman"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年度财务报表出具了审计报告，审计意见认为：山西银行财务报表在所有重大方面按照中华人民共和国财政部颁布的企业会计准则的规定编制，公允反映了山西银行202</w:t>
      </w:r>
      <w:r>
        <w:rPr>
          <w:rFonts w:hint="default" w:ascii="Times New Roman" w:hAnsi="Times New Roman"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年12月31日的合并及母公司财务状况以及自202</w:t>
      </w:r>
      <w:r>
        <w:rPr>
          <w:rFonts w:hint="default" w:ascii="Times New Roman" w:hAnsi="Times New Roman"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年</w:t>
      </w:r>
      <w:r>
        <w:rPr>
          <w:rFonts w:hint="default" w:ascii="Times New Roman" w:hAnsi="Times New Roman" w:cs="Times New Roman"/>
          <w:color w:val="000000"/>
          <w:kern w:val="0"/>
          <w:sz w:val="32"/>
          <w:szCs w:val="32"/>
          <w:lang w:val="en-US" w:eastAsia="zh-CN"/>
        </w:rPr>
        <w:t>度</w:t>
      </w:r>
      <w:r>
        <w:rPr>
          <w:rFonts w:hint="default" w:ascii="Times New Roman" w:hAnsi="Times New Roman" w:eastAsia="仿宋_GB2312" w:cs="Times New Roman"/>
          <w:color w:val="000000"/>
          <w:kern w:val="0"/>
          <w:sz w:val="32"/>
          <w:szCs w:val="32"/>
          <w:lang w:val="en-US" w:eastAsia="zh-CN"/>
        </w:rPr>
        <w:t>的合并及母公司经营成果和现金流量。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333333"/>
          <w:kern w:val="0"/>
          <w:sz w:val="24"/>
          <w:szCs w:val="24"/>
          <w:lang w:eastAsia="zh-CN"/>
        </w:rPr>
      </w:pPr>
      <w:r>
        <w:rPr>
          <w:rFonts w:hint="default" w:ascii="Times New Roman" w:hAnsi="Times New Roman" w:eastAsia="黑体" w:cs="Times New Roman"/>
          <w:lang w:val="en-US" w:eastAsia="zh-CN"/>
        </w:rPr>
        <w:t>三</w:t>
      </w:r>
      <w:r>
        <w:rPr>
          <w:rFonts w:hint="default" w:ascii="Times New Roman" w:hAnsi="Times New Roman" w:eastAsia="黑体" w:cs="Times New Roman"/>
        </w:rPr>
        <w:t>、</w:t>
      </w:r>
      <w:r>
        <w:rPr>
          <w:rFonts w:hint="default" w:ascii="Times New Roman" w:hAnsi="Times New Roman" w:eastAsia="黑体" w:cs="Times New Roman"/>
          <w:color w:val="000000"/>
          <w:kern w:val="0"/>
          <w:sz w:val="32"/>
          <w:szCs w:val="32"/>
        </w:rPr>
        <w:t>薪酬情况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default" w:ascii="Times New Roman" w:hAnsi="Times New Roman" w:eastAsia="思源黑体" w:cs="Times New Roman"/>
          <w:color w:val="auto"/>
          <w:kern w:val="0"/>
          <w:sz w:val="24"/>
          <w:szCs w:val="24"/>
          <w:highlight w:val="none"/>
          <w:u w:val="none"/>
        </w:rPr>
      </w:pPr>
      <w:r>
        <w:rPr>
          <w:rFonts w:hint="default" w:ascii="Times New Roman" w:hAnsi="Times New Roman" w:eastAsia="仿宋_GB2312" w:cs="Times New Roman"/>
          <w:color w:val="auto"/>
          <w:kern w:val="0"/>
          <w:sz w:val="32"/>
          <w:szCs w:val="32"/>
          <w:highlight w:val="none"/>
          <w:u w:val="none"/>
          <w:lang w:val="en-US" w:eastAsia="zh-CN"/>
        </w:rPr>
        <w:t>截至202</w:t>
      </w:r>
      <w:r>
        <w:rPr>
          <w:rFonts w:hint="default" w:ascii="Times New Roman" w:hAnsi="Times New Roman"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US" w:eastAsia="zh-CN"/>
        </w:rPr>
        <w:t>年末</w:t>
      </w:r>
      <w:r>
        <w:rPr>
          <w:rFonts w:hint="default" w:ascii="Times New Roman" w:hAnsi="Times New Roman" w:eastAsia="仿宋_GB2312" w:cs="Times New Roman"/>
          <w:color w:val="auto"/>
          <w:kern w:val="0"/>
          <w:sz w:val="32"/>
          <w:szCs w:val="32"/>
          <w:highlight w:val="none"/>
          <w:u w:val="none"/>
        </w:rPr>
        <w:t>，</w:t>
      </w:r>
      <w:r>
        <w:rPr>
          <w:rFonts w:hint="default" w:ascii="Times New Roman" w:hAnsi="Times New Roman" w:cs="Times New Roman"/>
          <w:color w:val="auto"/>
          <w:kern w:val="0"/>
          <w:sz w:val="32"/>
          <w:szCs w:val="32"/>
          <w:highlight w:val="none"/>
          <w:u w:val="none"/>
          <w:lang w:val="en-US" w:eastAsia="zh-CN"/>
        </w:rPr>
        <w:t>本行</w:t>
      </w:r>
      <w:r>
        <w:rPr>
          <w:rFonts w:hint="default" w:ascii="Times New Roman" w:hAnsi="Times New Roman" w:eastAsia="仿宋_GB2312" w:cs="Times New Roman"/>
          <w:color w:val="auto"/>
          <w:kern w:val="0"/>
          <w:sz w:val="32"/>
          <w:szCs w:val="32"/>
          <w:highlight w:val="none"/>
          <w:u w:val="none"/>
        </w:rPr>
        <w:t>董事会由</w:t>
      </w:r>
      <w:r>
        <w:rPr>
          <w:rFonts w:hint="default" w:ascii="Times New Roman" w:hAnsi="Times New Roman" w:eastAsia="思源黑体" w:cs="Times New Roman"/>
          <w:color w:val="auto"/>
          <w:kern w:val="0"/>
          <w:sz w:val="32"/>
          <w:szCs w:val="32"/>
          <w:highlight w:val="none"/>
          <w:u w:val="none"/>
          <w:lang w:val="en-US" w:eastAsia="zh-CN"/>
        </w:rPr>
        <w:t>9</w:t>
      </w:r>
      <w:r>
        <w:rPr>
          <w:rFonts w:hint="default" w:ascii="Times New Roman" w:hAnsi="Times New Roman" w:eastAsia="仿宋_GB2312" w:cs="Times New Roman"/>
          <w:color w:val="auto"/>
          <w:kern w:val="0"/>
          <w:sz w:val="32"/>
          <w:szCs w:val="32"/>
          <w:highlight w:val="none"/>
          <w:u w:val="none"/>
        </w:rPr>
        <w:t>名董事组成；监事会由</w:t>
      </w:r>
      <w:r>
        <w:rPr>
          <w:rFonts w:hint="default" w:ascii="Times New Roman" w:hAnsi="Times New Roman" w:eastAsia="思源黑体"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rPr>
        <w:t>名监事组成；高级管理人员共</w:t>
      </w:r>
      <w:r>
        <w:rPr>
          <w:rFonts w:hint="default" w:ascii="Times New Roman" w:hAnsi="Times New Roman" w:eastAsia="思源黑体"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rPr>
        <w:t>名。具体情况见下表：</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6"/>
        <w:jc w:val="left"/>
        <w:textAlignment w:val="auto"/>
        <w:rPr>
          <w:rFonts w:hint="default" w:ascii="Times New Roman" w:hAnsi="Times New Roman" w:eastAsia="思源黑体" w:cs="Times New Roman"/>
          <w:color w:val="auto"/>
          <w:kern w:val="0"/>
          <w:sz w:val="24"/>
          <w:szCs w:val="24"/>
          <w:highlight w:val="none"/>
          <w:u w:val="none"/>
        </w:rPr>
      </w:pPr>
      <w:r>
        <w:rPr>
          <w:rFonts w:hint="default" w:ascii="Times New Roman" w:hAnsi="Times New Roman" w:eastAsia="楷体_GB2312" w:cs="Times New Roman"/>
          <w:color w:val="auto"/>
          <w:kern w:val="0"/>
          <w:sz w:val="32"/>
          <w:szCs w:val="32"/>
          <w:highlight w:val="none"/>
          <w:u w:val="none"/>
        </w:rPr>
        <w:t>（一）董事会成员任职情况</w:t>
      </w:r>
    </w:p>
    <w:tbl>
      <w:tblPr>
        <w:tblStyle w:val="13"/>
        <w:tblW w:w="9645" w:type="dxa"/>
        <w:jc w:val="center"/>
        <w:tblInd w:w="0" w:type="dxa"/>
        <w:shd w:val="clear" w:color="auto" w:fill="FFFFFF"/>
        <w:tblLayout w:type="fixed"/>
        <w:tblCellMar>
          <w:top w:w="0" w:type="dxa"/>
          <w:left w:w="0" w:type="dxa"/>
          <w:bottom w:w="0" w:type="dxa"/>
          <w:right w:w="0" w:type="dxa"/>
        </w:tblCellMar>
      </w:tblPr>
      <w:tblGrid>
        <w:gridCol w:w="990"/>
        <w:gridCol w:w="555"/>
        <w:gridCol w:w="1440"/>
        <w:gridCol w:w="705"/>
        <w:gridCol w:w="990"/>
        <w:gridCol w:w="4965"/>
      </w:tblGrid>
      <w:tr>
        <w:tblPrEx>
          <w:shd w:val="clear" w:color="auto" w:fill="FFFFFF"/>
          <w:tblLayout w:type="fixed"/>
          <w:tblCellMar>
            <w:top w:w="0" w:type="dxa"/>
            <w:left w:w="0" w:type="dxa"/>
            <w:bottom w:w="0" w:type="dxa"/>
            <w:right w:w="0" w:type="dxa"/>
          </w:tblCellMar>
        </w:tblPrEx>
        <w:trPr>
          <w:trHeight w:val="630" w:hRule="atLeast"/>
          <w:jc w:val="center"/>
        </w:trPr>
        <w:tc>
          <w:tcPr>
            <w:tcW w:w="99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姓名</w:t>
            </w:r>
          </w:p>
        </w:tc>
        <w:tc>
          <w:tcPr>
            <w:tcW w:w="5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性别</w:t>
            </w:r>
          </w:p>
        </w:tc>
        <w:tc>
          <w:tcPr>
            <w:tcW w:w="144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主要职务</w:t>
            </w:r>
          </w:p>
        </w:tc>
        <w:tc>
          <w:tcPr>
            <w:tcW w:w="7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年龄</w:t>
            </w:r>
          </w:p>
        </w:tc>
        <w:tc>
          <w:tcPr>
            <w:tcW w:w="9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任期起始时间</w:t>
            </w:r>
          </w:p>
        </w:tc>
        <w:tc>
          <w:tcPr>
            <w:tcW w:w="496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近三年主要工作经历</w:t>
            </w:r>
          </w:p>
        </w:tc>
      </w:tr>
      <w:tr>
        <w:tblPrEx>
          <w:tblLayout w:type="fixed"/>
          <w:tblCellMar>
            <w:top w:w="0" w:type="dxa"/>
            <w:left w:w="0" w:type="dxa"/>
            <w:bottom w:w="0" w:type="dxa"/>
            <w:right w:w="0" w:type="dxa"/>
          </w:tblCellMar>
        </w:tblPrEx>
        <w:trPr>
          <w:trHeight w:val="1110"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0"/>
                <w:szCs w:val="20"/>
                <w:highlight w:val="none"/>
                <w:u w:val="none"/>
                <w:lang w:bidi="ar"/>
              </w:rPr>
              <w:t>高计亮</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党委书记</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rPr>
              <w:t>董事长</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59</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2021.04</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仿宋_GB2312" w:cs="Times New Roman"/>
                <w:color w:val="auto"/>
                <w:highlight w:val="none"/>
                <w:u w:val="none"/>
                <w:lang w:val="en-US" w:eastAsia="zh-CN"/>
              </w:rPr>
            </w:pPr>
            <w:r>
              <w:rPr>
                <w:rFonts w:hint="default" w:ascii="Times New Roman" w:hAnsi="Times New Roman" w:eastAsia="仿宋_GB2312" w:cs="Times New Roman"/>
                <w:color w:val="auto"/>
                <w:kern w:val="0"/>
                <w:sz w:val="21"/>
                <w:szCs w:val="21"/>
                <w:highlight w:val="none"/>
                <w:u w:val="none"/>
              </w:rPr>
              <w:t>晋商银行副行长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rPr>
              <w:t>省城商行改革化险工作筹备组组长</w:t>
            </w:r>
            <w:r>
              <w:rPr>
                <w:rFonts w:hint="default" w:ascii="Times New Roman" w:hAnsi="Times New Roman" w:cs="Times New Roman"/>
                <w:color w:val="auto"/>
                <w:kern w:val="0"/>
                <w:sz w:val="21"/>
                <w:szCs w:val="21"/>
                <w:highlight w:val="none"/>
                <w:u w:val="none"/>
                <w:lang w:val="en-US" w:eastAsia="zh-CN"/>
              </w:rPr>
              <w:t>，</w:t>
            </w:r>
            <w:r>
              <w:rPr>
                <w:rFonts w:hint="default" w:ascii="Times New Roman" w:hAnsi="Times New Roman" w:eastAsia="仿宋_GB2312" w:cs="Times New Roman"/>
                <w:color w:val="auto"/>
                <w:kern w:val="0"/>
                <w:sz w:val="21"/>
                <w:szCs w:val="21"/>
                <w:highlight w:val="none"/>
                <w:u w:val="none"/>
                <w:lang w:val="en-US" w:eastAsia="zh-CN"/>
              </w:rPr>
              <w:t>山西银行</w:t>
            </w:r>
            <w:r>
              <w:rPr>
                <w:rFonts w:hint="default" w:ascii="Times New Roman" w:hAnsi="Times New Roman" w:cs="Times New Roman"/>
                <w:color w:val="auto"/>
                <w:kern w:val="0"/>
                <w:sz w:val="21"/>
                <w:szCs w:val="21"/>
                <w:highlight w:val="none"/>
                <w:u w:val="none"/>
                <w:lang w:val="en-US" w:eastAsia="zh-CN"/>
              </w:rPr>
              <w:t>代</w:t>
            </w:r>
            <w:r>
              <w:rPr>
                <w:rFonts w:hint="default" w:ascii="Times New Roman" w:hAnsi="Times New Roman" w:eastAsia="仿宋_GB2312" w:cs="Times New Roman"/>
                <w:color w:val="auto"/>
                <w:kern w:val="0"/>
                <w:sz w:val="21"/>
                <w:szCs w:val="21"/>
                <w:highlight w:val="none"/>
                <w:u w:val="none"/>
                <w:lang w:val="en-US" w:eastAsia="zh-CN"/>
              </w:rPr>
              <w:t>行长</w:t>
            </w:r>
            <w:r>
              <w:rPr>
                <w:rFonts w:hint="default" w:ascii="Times New Roman" w:hAnsi="Times New Roman" w:cs="Times New Roman"/>
                <w:color w:val="auto"/>
                <w:kern w:val="0"/>
                <w:sz w:val="21"/>
                <w:szCs w:val="21"/>
                <w:highlight w:val="none"/>
                <w:u w:val="none"/>
                <w:lang w:val="en-US" w:eastAsia="zh-CN"/>
              </w:rPr>
              <w:t>，山西银行党委书记、董事长</w:t>
            </w:r>
          </w:p>
        </w:tc>
      </w:tr>
      <w:tr>
        <w:tblPrEx>
          <w:tblLayout w:type="fixed"/>
          <w:tblCellMar>
            <w:top w:w="0" w:type="dxa"/>
            <w:left w:w="0" w:type="dxa"/>
            <w:bottom w:w="0" w:type="dxa"/>
            <w:right w:w="0" w:type="dxa"/>
          </w:tblCellMar>
        </w:tblPrEx>
        <w:trPr>
          <w:trHeight w:val="1110"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kern w:val="0"/>
                <w:sz w:val="20"/>
                <w:szCs w:val="20"/>
                <w:highlight w:val="none"/>
                <w:u w:val="none"/>
                <w:lang w:val="en-US" w:eastAsia="zh-CN" w:bidi="ar"/>
              </w:rPr>
            </w:pPr>
            <w:r>
              <w:rPr>
                <w:rFonts w:hint="default" w:ascii="Times New Roman" w:hAnsi="Times New Roman" w:cs="Times New Roman"/>
                <w:color w:val="auto"/>
                <w:kern w:val="0"/>
                <w:sz w:val="20"/>
                <w:szCs w:val="20"/>
                <w:highlight w:val="none"/>
                <w:u w:val="none"/>
                <w:lang w:val="en-US" w:eastAsia="zh-CN" w:bidi="ar"/>
              </w:rPr>
              <w:t>任  凯</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男</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党委副书记</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副董事长</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行长</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52</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2022.12</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山西省委政研室（省委改革办、省转型综改办）副主任，</w:t>
            </w:r>
            <w:r>
              <w:rPr>
                <w:rFonts w:hint="default" w:ascii="Times New Roman" w:hAnsi="Times New Roman" w:cs="Times New Roman"/>
                <w:color w:val="auto"/>
                <w:kern w:val="0"/>
                <w:sz w:val="21"/>
                <w:szCs w:val="21"/>
                <w:highlight w:val="none"/>
                <w:u w:val="none"/>
                <w:lang w:val="en-US" w:eastAsia="zh-CN"/>
              </w:rPr>
              <w:t>山西</w:t>
            </w:r>
            <w:r>
              <w:rPr>
                <w:rFonts w:hint="default" w:ascii="Times New Roman" w:hAnsi="Times New Roman" w:eastAsia="仿宋_GB2312" w:cs="Times New Roman"/>
                <w:color w:val="auto"/>
                <w:kern w:val="0"/>
                <w:sz w:val="21"/>
                <w:szCs w:val="21"/>
                <w:highlight w:val="none"/>
                <w:u w:val="none"/>
                <w:lang w:val="en-US" w:eastAsia="zh-CN"/>
              </w:rPr>
              <w:t>省发改委党组成员、副主任，吕梁市委副书记、政法委书记，山西银行党委副书记、副董事长、行长</w:t>
            </w:r>
          </w:p>
        </w:tc>
      </w:tr>
      <w:tr>
        <w:tblPrEx>
          <w:tblLayout w:type="fixed"/>
          <w:tblCellMar>
            <w:top w:w="0" w:type="dxa"/>
            <w:left w:w="0" w:type="dxa"/>
            <w:bottom w:w="0" w:type="dxa"/>
            <w:right w:w="0" w:type="dxa"/>
          </w:tblCellMar>
        </w:tblPrEx>
        <w:trPr>
          <w:trHeight w:val="825"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lang w:eastAsia="zh-CN"/>
              </w:rPr>
            </w:pPr>
            <w:r>
              <w:rPr>
                <w:rFonts w:hint="default" w:ascii="Times New Roman" w:hAnsi="Times New Roman" w:cs="Times New Roman"/>
                <w:color w:val="auto"/>
                <w:kern w:val="0"/>
                <w:sz w:val="20"/>
                <w:szCs w:val="20"/>
                <w:highlight w:val="none"/>
                <w:u w:val="none"/>
                <w:lang w:val="en-US" w:eastAsia="zh-CN" w:bidi="ar"/>
              </w:rPr>
              <w:t>赵  富</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highlight w:val="none"/>
                <w:u w:val="none"/>
                <w:lang w:val="en-US" w:eastAsia="zh-CN"/>
              </w:rPr>
            </w:pPr>
            <w:r>
              <w:rPr>
                <w:rFonts w:hint="default" w:ascii="Times New Roman" w:hAnsi="Times New Roman" w:eastAsia="仿宋_GB2312" w:cs="Times New Roman"/>
                <w:color w:val="auto"/>
                <w:kern w:val="0"/>
                <w:sz w:val="21"/>
                <w:szCs w:val="21"/>
                <w:highlight w:val="none"/>
                <w:u w:val="none"/>
              </w:rPr>
              <w:t>党委</w:t>
            </w:r>
            <w:r>
              <w:rPr>
                <w:rFonts w:hint="default" w:ascii="Times New Roman" w:hAnsi="Times New Roman" w:cs="Times New Roman"/>
                <w:color w:val="auto"/>
                <w:kern w:val="0"/>
                <w:sz w:val="21"/>
                <w:szCs w:val="21"/>
                <w:highlight w:val="none"/>
                <w:u w:val="none"/>
                <w:lang w:val="en-US" w:eastAsia="zh-CN"/>
              </w:rPr>
              <w:t>专职</w:t>
            </w:r>
            <w:r>
              <w:rPr>
                <w:rFonts w:hint="default" w:ascii="Times New Roman" w:hAnsi="Times New Roman" w:eastAsia="仿宋_GB2312" w:cs="Times New Roman"/>
                <w:color w:val="auto"/>
                <w:kern w:val="0"/>
                <w:sz w:val="21"/>
                <w:szCs w:val="21"/>
                <w:highlight w:val="none"/>
                <w:u w:val="none"/>
              </w:rPr>
              <w:t>副书记</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lang w:val="en-US" w:eastAsia="zh-CN"/>
              </w:rPr>
              <w:t>董事</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eastAsia="微软雅黑" w:cs="Times New Roman"/>
                <w:color w:val="auto"/>
                <w:kern w:val="0"/>
                <w:sz w:val="21"/>
                <w:szCs w:val="21"/>
                <w:highlight w:val="none"/>
                <w:u w:val="none"/>
                <w:lang w:val="en-US" w:eastAsia="zh-CN"/>
              </w:rPr>
              <w:t>56</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202</w:t>
            </w:r>
            <w:r>
              <w:rPr>
                <w:rFonts w:hint="default" w:ascii="Times New Roman" w:hAnsi="Times New Roman" w:cs="Times New Roman"/>
                <w:color w:val="auto"/>
                <w:kern w:val="0"/>
                <w:sz w:val="21"/>
                <w:szCs w:val="21"/>
                <w:highlight w:val="none"/>
                <w:u w:val="none"/>
                <w:lang w:val="en-US" w:eastAsia="zh-CN"/>
              </w:rPr>
              <w:t>2</w:t>
            </w:r>
            <w:r>
              <w:rPr>
                <w:rFonts w:hint="default" w:ascii="Times New Roman" w:hAnsi="Times New Roman" w:eastAsia="仿宋_GB2312" w:cs="Times New Roman"/>
                <w:color w:val="auto"/>
                <w:kern w:val="0"/>
                <w:sz w:val="21"/>
                <w:szCs w:val="21"/>
                <w:highlight w:val="none"/>
                <w:u w:val="none"/>
                <w:lang w:val="en-US" w:eastAsia="zh-CN"/>
              </w:rPr>
              <w:t>.0</w:t>
            </w:r>
            <w:r>
              <w:rPr>
                <w:rFonts w:hint="default" w:ascii="Times New Roman" w:hAnsi="Times New Roman" w:cs="Times New Roman"/>
                <w:color w:val="auto"/>
                <w:kern w:val="0"/>
                <w:sz w:val="21"/>
                <w:szCs w:val="21"/>
                <w:highlight w:val="none"/>
                <w:u w:val="none"/>
                <w:lang w:val="en-US" w:eastAsia="zh-CN"/>
              </w:rPr>
              <w:t>8</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仿宋_GB2312" w:cs="Times New Roman"/>
                <w:color w:val="auto"/>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晋商银行营销总监，公司金融部、机构客户部总经理</w:t>
            </w:r>
            <w:r>
              <w:rPr>
                <w:rFonts w:hint="default" w:ascii="Times New Roman" w:hAnsi="Times New Roman" w:cs="Times New Roman"/>
                <w:color w:val="auto"/>
                <w:kern w:val="0"/>
                <w:sz w:val="21"/>
                <w:szCs w:val="21"/>
                <w:highlight w:val="none"/>
                <w:u w:val="none"/>
                <w:lang w:val="en-US" w:eastAsia="zh-CN"/>
              </w:rPr>
              <w:t>，山西银行副行长，山西银行党委专职副书记、董事</w:t>
            </w:r>
          </w:p>
        </w:tc>
      </w:tr>
      <w:tr>
        <w:tblPrEx>
          <w:shd w:val="clear" w:color="auto" w:fill="FFFFFF"/>
          <w:tblLayout w:type="fixed"/>
          <w:tblCellMar>
            <w:top w:w="0" w:type="dxa"/>
            <w:left w:w="0" w:type="dxa"/>
            <w:bottom w:w="0" w:type="dxa"/>
            <w:right w:w="0" w:type="dxa"/>
          </w:tblCellMar>
        </w:tblPrEx>
        <w:trPr>
          <w:trHeight w:val="825"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0"/>
                <w:szCs w:val="20"/>
                <w:highlight w:val="none"/>
                <w:u w:val="none"/>
                <w:lang w:bidi="ar"/>
              </w:rPr>
              <w:t>刘振龙</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股权</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50</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2021.04</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rPr>
              <w:t>山西省财政厅国库处副处长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rPr>
              <w:t>地方金融处处长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cs="Times New Roman"/>
                <w:color w:val="auto"/>
                <w:kern w:val="0"/>
                <w:sz w:val="21"/>
                <w:szCs w:val="21"/>
                <w:highlight w:val="none"/>
                <w:u w:val="none"/>
                <w:lang w:val="en-US" w:eastAsia="zh-CN"/>
              </w:rPr>
              <w:t>山西金融投资控股集团有限公司党委委员、副总经理，山西银行股权董事</w:t>
            </w:r>
          </w:p>
        </w:tc>
      </w:tr>
      <w:tr>
        <w:tblPrEx>
          <w:tblLayout w:type="fixed"/>
          <w:tblCellMar>
            <w:top w:w="0" w:type="dxa"/>
            <w:left w:w="0" w:type="dxa"/>
            <w:bottom w:w="0" w:type="dxa"/>
            <w:right w:w="0" w:type="dxa"/>
          </w:tblCellMar>
        </w:tblPrEx>
        <w:trPr>
          <w:trHeight w:val="714"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lang w:eastAsia="zh-CN"/>
              </w:rPr>
            </w:pPr>
            <w:r>
              <w:rPr>
                <w:rFonts w:hint="default" w:ascii="Times New Roman" w:hAnsi="Times New Roman" w:cs="Times New Roman"/>
                <w:color w:val="auto"/>
                <w:kern w:val="0"/>
                <w:sz w:val="20"/>
                <w:szCs w:val="20"/>
                <w:highlight w:val="none"/>
                <w:u w:val="none"/>
                <w:lang w:val="en-US" w:eastAsia="zh-CN" w:bidi="ar"/>
              </w:rPr>
              <w:t>张军民</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股权</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58</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eastAsia="微软雅黑" w:cs="Times New Roman"/>
                <w:color w:val="auto"/>
                <w:kern w:val="0"/>
                <w:sz w:val="21"/>
                <w:szCs w:val="21"/>
                <w:highlight w:val="none"/>
                <w:u w:val="none"/>
                <w:lang w:val="en-US" w:eastAsia="zh-CN"/>
              </w:rPr>
              <w:t>2022.11</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微软雅黑"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山西省财政厅农村综合改革处二级调研员、监督检查局局长、监督内审评价局局长，山西银行股权董事</w:t>
            </w:r>
          </w:p>
        </w:tc>
      </w:tr>
      <w:tr>
        <w:tblPrEx>
          <w:shd w:val="clear" w:color="auto" w:fill="FFFFFF"/>
          <w:tblLayout w:type="fixed"/>
          <w:tblCellMar>
            <w:top w:w="0" w:type="dxa"/>
            <w:left w:w="0" w:type="dxa"/>
            <w:bottom w:w="0" w:type="dxa"/>
            <w:right w:w="0" w:type="dxa"/>
          </w:tblCellMar>
        </w:tblPrEx>
        <w:trPr>
          <w:trHeight w:val="714" w:hRule="atLeast"/>
          <w:jc w:val="center"/>
        </w:trPr>
        <w:tc>
          <w:tcPr>
            <w:tcW w:w="99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color w:val="auto"/>
                <w:kern w:val="0"/>
                <w:sz w:val="20"/>
                <w:szCs w:val="20"/>
                <w:highlight w:val="none"/>
                <w:u w:val="none"/>
                <w:lang w:val="en-US" w:eastAsia="zh-CN" w:bidi="ar"/>
              </w:rPr>
            </w:pPr>
            <w:r>
              <w:rPr>
                <w:rFonts w:hint="default" w:ascii="Times New Roman" w:hAnsi="Times New Roman" w:cs="Times New Roman"/>
                <w:color w:val="auto"/>
                <w:kern w:val="0"/>
                <w:sz w:val="20"/>
                <w:szCs w:val="20"/>
                <w:highlight w:val="none"/>
                <w:u w:val="none"/>
                <w:lang w:val="en-US" w:eastAsia="zh-CN" w:bidi="ar"/>
              </w:rPr>
              <w:t>师跃英</w:t>
            </w: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女</w:t>
            </w:r>
          </w:p>
        </w:tc>
        <w:tc>
          <w:tcPr>
            <w:tcW w:w="144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股权</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55</w:t>
            </w:r>
          </w:p>
        </w:tc>
        <w:tc>
          <w:tcPr>
            <w:tcW w:w="9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eastAsia="微软雅黑" w:cs="Times New Roman"/>
                <w:color w:val="auto"/>
                <w:kern w:val="0"/>
                <w:sz w:val="21"/>
                <w:szCs w:val="21"/>
                <w:highlight w:val="none"/>
                <w:u w:val="none"/>
                <w:lang w:val="en-US" w:eastAsia="zh-CN"/>
              </w:rPr>
              <w:t>2022.11</w:t>
            </w:r>
          </w:p>
        </w:tc>
        <w:tc>
          <w:tcPr>
            <w:tcW w:w="49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山西省农业信贷融资担保有限公司总经理、山西银行股权董事</w:t>
            </w:r>
          </w:p>
        </w:tc>
      </w:tr>
      <w:tr>
        <w:tblPrEx>
          <w:shd w:val="clear" w:color="auto" w:fill="FFFFFF"/>
          <w:tblLayout w:type="fixed"/>
          <w:tblCellMar>
            <w:top w:w="0" w:type="dxa"/>
            <w:left w:w="0" w:type="dxa"/>
            <w:bottom w:w="0" w:type="dxa"/>
            <w:right w:w="0" w:type="dxa"/>
          </w:tblCellMar>
        </w:tblPrEx>
        <w:trPr>
          <w:trHeight w:val="855" w:hRule="atLeast"/>
          <w:jc w:val="center"/>
        </w:trPr>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0"/>
                <w:szCs w:val="20"/>
                <w:highlight w:val="none"/>
                <w:u w:val="none"/>
                <w:lang w:bidi="ar"/>
              </w:rPr>
              <w:t>李凯风</w:t>
            </w:r>
          </w:p>
        </w:tc>
        <w:tc>
          <w:tcPr>
            <w:tcW w:w="55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男</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独立</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54</w:t>
            </w:r>
          </w:p>
        </w:tc>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2021.04</w:t>
            </w:r>
          </w:p>
        </w:tc>
        <w:tc>
          <w:tcPr>
            <w:tcW w:w="496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微软雅黑"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中国矿业大学任教，山西银行独立董事</w:t>
            </w:r>
          </w:p>
        </w:tc>
      </w:tr>
      <w:tr>
        <w:tblPrEx>
          <w:shd w:val="clear" w:color="auto" w:fill="FFFFFF"/>
          <w:tblLayout w:type="fixed"/>
          <w:tblCellMar>
            <w:top w:w="0" w:type="dxa"/>
            <w:left w:w="0" w:type="dxa"/>
            <w:bottom w:w="0" w:type="dxa"/>
            <w:right w:w="0" w:type="dxa"/>
          </w:tblCellMar>
        </w:tblPrEx>
        <w:trPr>
          <w:trHeight w:val="855" w:hRule="atLeast"/>
          <w:jc w:val="center"/>
        </w:trPr>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kern w:val="0"/>
                <w:sz w:val="20"/>
                <w:szCs w:val="20"/>
                <w:highlight w:val="none"/>
                <w:u w:val="none"/>
                <w:lang w:val="en-US" w:eastAsia="zh-CN" w:bidi="ar"/>
              </w:rPr>
            </w:pPr>
            <w:r>
              <w:rPr>
                <w:rFonts w:hint="default" w:ascii="Times New Roman" w:hAnsi="Times New Roman" w:cs="Times New Roman"/>
                <w:color w:val="auto"/>
                <w:kern w:val="0"/>
                <w:sz w:val="20"/>
                <w:szCs w:val="20"/>
                <w:highlight w:val="none"/>
                <w:u w:val="none"/>
                <w:lang w:val="en-US" w:eastAsia="zh-CN" w:bidi="ar"/>
              </w:rPr>
              <w:t>丁建飞</w:t>
            </w:r>
          </w:p>
        </w:tc>
        <w:tc>
          <w:tcPr>
            <w:tcW w:w="55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男</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独立</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51</w:t>
            </w:r>
          </w:p>
        </w:tc>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2022.12</w:t>
            </w:r>
          </w:p>
        </w:tc>
        <w:tc>
          <w:tcPr>
            <w:tcW w:w="496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信永中和会计师事务所（特殊普通合伙）管理咨询合伙人、山西银行独立董事</w:t>
            </w:r>
          </w:p>
        </w:tc>
      </w:tr>
      <w:tr>
        <w:tblPrEx>
          <w:shd w:val="clear" w:color="auto" w:fill="FFFFFF"/>
          <w:tblLayout w:type="fixed"/>
          <w:tblCellMar>
            <w:top w:w="0" w:type="dxa"/>
            <w:left w:w="0" w:type="dxa"/>
            <w:bottom w:w="0" w:type="dxa"/>
            <w:right w:w="0" w:type="dxa"/>
          </w:tblCellMar>
        </w:tblPrEx>
        <w:trPr>
          <w:trHeight w:val="855" w:hRule="atLeast"/>
          <w:jc w:val="center"/>
        </w:trPr>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color w:val="auto"/>
                <w:kern w:val="0"/>
                <w:sz w:val="20"/>
                <w:szCs w:val="20"/>
                <w:highlight w:val="none"/>
                <w:u w:val="none"/>
                <w:lang w:val="en-US" w:eastAsia="zh-CN" w:bidi="ar"/>
              </w:rPr>
            </w:pPr>
            <w:r>
              <w:rPr>
                <w:rFonts w:hint="default" w:ascii="Times New Roman" w:hAnsi="Times New Roman" w:cs="Times New Roman"/>
                <w:color w:val="auto"/>
                <w:kern w:val="0"/>
                <w:sz w:val="20"/>
                <w:szCs w:val="20"/>
                <w:highlight w:val="none"/>
                <w:u w:val="none"/>
                <w:lang w:val="en-US" w:eastAsia="zh-CN" w:bidi="ar"/>
              </w:rPr>
              <w:t>金海腾</w:t>
            </w:r>
          </w:p>
        </w:tc>
        <w:tc>
          <w:tcPr>
            <w:tcW w:w="55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男</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独立</w:t>
            </w:r>
            <w:r>
              <w:rPr>
                <w:rFonts w:hint="default" w:ascii="Times New Roman" w:hAnsi="Times New Roman" w:eastAsia="仿宋_GB2312" w:cs="Times New Roman"/>
                <w:color w:val="auto"/>
                <w:kern w:val="0"/>
                <w:sz w:val="21"/>
                <w:szCs w:val="21"/>
                <w:highlight w:val="none"/>
                <w:u w:val="none"/>
              </w:rPr>
              <w:t>董事</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73</w:t>
            </w:r>
          </w:p>
        </w:tc>
        <w:tc>
          <w:tcPr>
            <w:tcW w:w="99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2023.10</w:t>
            </w:r>
          </w:p>
        </w:tc>
        <w:tc>
          <w:tcPr>
            <w:tcW w:w="496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上海融至道投资管理咨询有限公司创始人，山西银行独立董事</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1"/>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rPr>
        <w:t>备注：</w:t>
      </w:r>
      <w:r>
        <w:rPr>
          <w:rFonts w:hint="default" w:ascii="Times New Roman" w:hAnsi="Times New Roman" w:eastAsia="仿宋_GB2312" w:cs="Times New Roman"/>
          <w:b w:val="0"/>
          <w:bCs w:val="0"/>
          <w:color w:val="auto"/>
          <w:sz w:val="24"/>
          <w:szCs w:val="24"/>
          <w:lang w:val="en-US" w:eastAsia="zh-CN"/>
        </w:rPr>
        <w:t>报告期内董事变动情况</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b w:val="0"/>
          <w:bCs w:val="0"/>
          <w:color w:val="auto"/>
          <w:sz w:val="24"/>
          <w:szCs w:val="24"/>
          <w:lang w:val="en-US" w:eastAsia="zh-CN"/>
        </w:rPr>
        <w:t>1.赵宏祥先生因工作变动，辞去山西银行第一届董事会独立董事及董事会审计委员会主任委员、董事会资产负债管理委员会委员职务。上述辞任自2023年9月27日生效。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1"/>
        <w:rPr>
          <w:rFonts w:hint="default" w:ascii="Times New Roman" w:hAnsi="Times New Roman" w:eastAsia="楷体_GB2312" w:cs="Times New Roman"/>
          <w:color w:val="auto"/>
          <w:kern w:val="0"/>
          <w:sz w:val="32"/>
          <w:szCs w:val="32"/>
          <w:highlight w:val="none"/>
          <w:u w:val="none"/>
        </w:rPr>
      </w:pPr>
      <w:r>
        <w:rPr>
          <w:rFonts w:hint="default" w:ascii="Times New Roman" w:hAnsi="Times New Roman" w:eastAsia="仿宋_GB2312" w:cs="Times New Roman"/>
          <w:b w:val="0"/>
          <w:bCs w:val="0"/>
          <w:color w:val="auto"/>
          <w:sz w:val="24"/>
          <w:szCs w:val="24"/>
          <w:lang w:val="en-US" w:eastAsia="zh-CN"/>
        </w:rPr>
        <w:t>2.金海腾先生独立董事任职资格于2023年9月27日获得国家金融监督管理总局山西监管局核准。2023年10月7日，本行聘任金海腾先生为本行独立董事。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楷体_GB2312" w:cs="Times New Roman"/>
          <w:color w:val="FF0000"/>
          <w:kern w:val="0"/>
          <w:sz w:val="32"/>
          <w:szCs w:val="32"/>
          <w:highlight w:val="none"/>
          <w:u w:val="none"/>
          <w:lang w:eastAsia="zh-CN"/>
        </w:rPr>
      </w:pPr>
      <w:r>
        <w:rPr>
          <w:rFonts w:hint="default" w:ascii="Times New Roman" w:hAnsi="Times New Roman" w:eastAsia="楷体_GB2312" w:cs="Times New Roman"/>
          <w:color w:val="auto"/>
          <w:kern w:val="0"/>
          <w:sz w:val="32"/>
          <w:szCs w:val="32"/>
          <w:highlight w:val="none"/>
          <w:u w:val="none"/>
        </w:rPr>
        <w:t>（二）监事会成员任职情况</w:t>
      </w:r>
    </w:p>
    <w:tbl>
      <w:tblPr>
        <w:tblStyle w:val="13"/>
        <w:tblW w:w="9645" w:type="dxa"/>
        <w:jc w:val="center"/>
        <w:tblInd w:w="0" w:type="dxa"/>
        <w:shd w:val="clear" w:color="auto" w:fill="FFFFFF"/>
        <w:tblLayout w:type="fixed"/>
        <w:tblCellMar>
          <w:top w:w="0" w:type="dxa"/>
          <w:left w:w="0" w:type="dxa"/>
          <w:bottom w:w="0" w:type="dxa"/>
          <w:right w:w="0" w:type="dxa"/>
        </w:tblCellMar>
      </w:tblPr>
      <w:tblGrid>
        <w:gridCol w:w="1005"/>
        <w:gridCol w:w="548"/>
        <w:gridCol w:w="1410"/>
        <w:gridCol w:w="690"/>
        <w:gridCol w:w="1005"/>
        <w:gridCol w:w="4987"/>
      </w:tblGrid>
      <w:tr>
        <w:tblPrEx>
          <w:shd w:val="clear" w:color="auto" w:fill="FFFFFF"/>
          <w:tblLayout w:type="fixed"/>
        </w:tblPrEx>
        <w:trPr>
          <w:trHeight w:val="630" w:hRule="atLeast"/>
          <w:jc w:val="center"/>
        </w:trPr>
        <w:tc>
          <w:tcPr>
            <w:tcW w:w="10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微软雅黑" w:cs="Times New Roman"/>
                <w:color w:val="auto"/>
                <w:kern w:val="0"/>
                <w:sz w:val="21"/>
                <w:szCs w:val="21"/>
                <w:highlight w:val="none"/>
                <w:u w:val="none"/>
              </w:rPr>
              <w:t> </w:t>
            </w:r>
            <w:r>
              <w:rPr>
                <w:rFonts w:hint="default" w:ascii="Times New Roman" w:hAnsi="Times New Roman" w:eastAsia="宋体" w:cs="Times New Roman"/>
                <w:b/>
                <w:bCs/>
                <w:color w:val="auto"/>
                <w:kern w:val="0"/>
                <w:sz w:val="21"/>
                <w:szCs w:val="21"/>
                <w:highlight w:val="none"/>
                <w:u w:val="none"/>
              </w:rPr>
              <w:t>姓名</w:t>
            </w:r>
          </w:p>
        </w:tc>
        <w:tc>
          <w:tcPr>
            <w:tcW w:w="54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性别</w:t>
            </w:r>
          </w:p>
        </w:tc>
        <w:tc>
          <w:tcPr>
            <w:tcW w:w="141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主要职务</w:t>
            </w:r>
          </w:p>
        </w:tc>
        <w:tc>
          <w:tcPr>
            <w:tcW w:w="6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年龄</w:t>
            </w:r>
          </w:p>
        </w:tc>
        <w:tc>
          <w:tcPr>
            <w:tcW w:w="10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任期起始时间</w:t>
            </w:r>
          </w:p>
        </w:tc>
        <w:tc>
          <w:tcPr>
            <w:tcW w:w="4987" w:type="dxa"/>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近三年主要工作经历</w:t>
            </w:r>
          </w:p>
        </w:tc>
      </w:tr>
      <w:tr>
        <w:tblPrEx>
          <w:shd w:val="clear" w:color="auto" w:fill="FFFFFF"/>
          <w:tblLayout w:type="fixed"/>
          <w:tblCellMar>
            <w:top w:w="0" w:type="dxa"/>
            <w:left w:w="0" w:type="dxa"/>
            <w:bottom w:w="0" w:type="dxa"/>
            <w:right w:w="0" w:type="dxa"/>
          </w:tblCellMar>
        </w:tblPrEx>
        <w:trPr>
          <w:trHeight w:val="703" w:hRule="atLeast"/>
          <w:jc w:val="center"/>
        </w:trPr>
        <w:tc>
          <w:tcPr>
            <w:tcW w:w="100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sz w:val="20"/>
                <w:szCs w:val="20"/>
                <w:highlight w:val="none"/>
                <w:u w:val="none"/>
              </w:rPr>
              <w:t>郭学明</w:t>
            </w:r>
          </w:p>
        </w:tc>
        <w:tc>
          <w:tcPr>
            <w:tcW w:w="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股东</w:t>
            </w:r>
            <w:r>
              <w:rPr>
                <w:rFonts w:hint="default" w:ascii="Times New Roman" w:hAnsi="Times New Roman" w:eastAsia="仿宋_GB2312" w:cs="Times New Roman"/>
                <w:color w:val="auto"/>
                <w:kern w:val="0"/>
                <w:sz w:val="21"/>
                <w:szCs w:val="21"/>
                <w:highlight w:val="none"/>
                <w:u w:val="none"/>
              </w:rPr>
              <w:t>监事</w:t>
            </w: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63</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2021.04</w:t>
            </w:r>
          </w:p>
        </w:tc>
        <w:tc>
          <w:tcPr>
            <w:tcW w:w="4987" w:type="dxa"/>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widowControl/>
              <w:spacing w:after="150" w:line="240" w:lineRule="atLeast"/>
              <w:jc w:val="left"/>
              <w:rPr>
                <w:rFonts w:hint="default" w:ascii="Times New Roman" w:hAnsi="Times New Roman" w:eastAsia="仿宋_GB2312"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山西太原凯通实业有限公司、山西聚源煤化有限公司、山西聚丰能源有限公司董事长、山西银行股东监事</w:t>
            </w:r>
          </w:p>
        </w:tc>
      </w:tr>
      <w:tr>
        <w:tblPrEx>
          <w:shd w:val="clear" w:color="auto" w:fill="FFFFFF"/>
          <w:tblLayout w:type="fixed"/>
          <w:tblCellMar>
            <w:top w:w="0" w:type="dxa"/>
            <w:left w:w="0" w:type="dxa"/>
            <w:bottom w:w="0" w:type="dxa"/>
            <w:right w:w="0" w:type="dxa"/>
          </w:tblCellMar>
        </w:tblPrEx>
        <w:trPr>
          <w:trHeight w:val="703" w:hRule="atLeast"/>
          <w:jc w:val="center"/>
        </w:trPr>
        <w:tc>
          <w:tcPr>
            <w:tcW w:w="100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sz w:val="20"/>
                <w:szCs w:val="20"/>
                <w:highlight w:val="none"/>
                <w:u w:val="none"/>
              </w:rPr>
              <w:t>郭高伟</w:t>
            </w:r>
          </w:p>
        </w:tc>
        <w:tc>
          <w:tcPr>
            <w:tcW w:w="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股东</w:t>
            </w:r>
            <w:r>
              <w:rPr>
                <w:rFonts w:hint="default" w:ascii="Times New Roman" w:hAnsi="Times New Roman" w:eastAsia="仿宋_GB2312" w:cs="Times New Roman"/>
                <w:color w:val="auto"/>
                <w:kern w:val="0"/>
                <w:sz w:val="21"/>
                <w:szCs w:val="21"/>
                <w:highlight w:val="none"/>
                <w:u w:val="none"/>
              </w:rPr>
              <w:t>监事</w:t>
            </w: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42</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2021.04</w:t>
            </w:r>
          </w:p>
        </w:tc>
        <w:tc>
          <w:tcPr>
            <w:tcW w:w="4987" w:type="dxa"/>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widowControl/>
              <w:spacing w:after="150" w:line="240" w:lineRule="atLeast"/>
              <w:jc w:val="left"/>
              <w:rPr>
                <w:rFonts w:hint="default" w:ascii="Times New Roman" w:hAnsi="Times New Roman" w:eastAsia="仿宋_GB2312"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长治市财政局地方金融科科长、原长治银行股权董事、山西银行股东监事</w:t>
            </w:r>
          </w:p>
        </w:tc>
      </w:tr>
      <w:tr>
        <w:tblPrEx>
          <w:shd w:val="clear" w:color="auto" w:fill="FFFFFF"/>
          <w:tblLayout w:type="fixed"/>
          <w:tblCellMar>
            <w:top w:w="0" w:type="dxa"/>
            <w:left w:w="0" w:type="dxa"/>
            <w:bottom w:w="0" w:type="dxa"/>
            <w:right w:w="0" w:type="dxa"/>
          </w:tblCellMar>
        </w:tblPrEx>
        <w:trPr>
          <w:trHeight w:val="703" w:hRule="atLeast"/>
          <w:jc w:val="center"/>
        </w:trPr>
        <w:tc>
          <w:tcPr>
            <w:tcW w:w="100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0"/>
                <w:szCs w:val="20"/>
                <w:highlight w:val="none"/>
                <w:u w:val="none"/>
              </w:rPr>
              <w:t>吴秋生</w:t>
            </w:r>
          </w:p>
        </w:tc>
        <w:tc>
          <w:tcPr>
            <w:tcW w:w="54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4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外部</w:t>
            </w:r>
            <w:r>
              <w:rPr>
                <w:rFonts w:hint="default" w:ascii="Times New Roman" w:hAnsi="Times New Roman" w:eastAsia="仿宋_GB2312" w:cs="Times New Roman"/>
                <w:color w:val="auto"/>
                <w:kern w:val="0"/>
                <w:sz w:val="21"/>
                <w:szCs w:val="21"/>
                <w:highlight w:val="none"/>
                <w:u w:val="none"/>
              </w:rPr>
              <w:t>监事</w:t>
            </w: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62</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2021.04</w:t>
            </w:r>
          </w:p>
        </w:tc>
        <w:tc>
          <w:tcPr>
            <w:tcW w:w="4987" w:type="dxa"/>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widowControl/>
              <w:spacing w:after="150" w:line="240" w:lineRule="atLeast"/>
              <w:jc w:val="left"/>
              <w:rPr>
                <w:rFonts w:hint="default" w:ascii="Times New Roman" w:hAnsi="Times New Roman" w:eastAsia="仿宋_GB2312"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山西财经大学任教、学院院长，金利华电、山煤国际、大禹生物独立董事，山西银行外部监事</w:t>
            </w:r>
          </w:p>
        </w:tc>
      </w:tr>
      <w:tr>
        <w:tblPrEx>
          <w:shd w:val="clear" w:color="auto" w:fill="FFFFFF"/>
          <w:tblLayout w:type="fixed"/>
          <w:tblCellMar>
            <w:top w:w="0" w:type="dxa"/>
            <w:left w:w="0" w:type="dxa"/>
            <w:bottom w:w="0" w:type="dxa"/>
            <w:right w:w="0" w:type="dxa"/>
          </w:tblCellMar>
        </w:tblPrEx>
        <w:trPr>
          <w:trHeight w:val="703" w:hRule="atLeast"/>
          <w:jc w:val="center"/>
        </w:trPr>
        <w:tc>
          <w:tcPr>
            <w:tcW w:w="1005" w:type="dxa"/>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u w:val="none"/>
              </w:rPr>
            </w:pPr>
            <w:r>
              <w:rPr>
                <w:rFonts w:hint="default" w:ascii="Times New Roman" w:hAnsi="Times New Roman" w:eastAsia="仿宋_GB2312" w:cs="Times New Roman"/>
                <w:color w:val="auto"/>
                <w:kern w:val="0"/>
                <w:sz w:val="20"/>
                <w:szCs w:val="20"/>
                <w:highlight w:val="none"/>
                <w:u w:val="none"/>
              </w:rPr>
              <w:t>许桂霞</w:t>
            </w:r>
          </w:p>
        </w:tc>
        <w:tc>
          <w:tcPr>
            <w:tcW w:w="548"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u w:val="none"/>
                <w:lang w:val="en-US" w:eastAsia="zh-CN"/>
              </w:rPr>
            </w:pPr>
            <w:r>
              <w:rPr>
                <w:rFonts w:hint="default" w:ascii="Times New Roman" w:hAnsi="Times New Roman" w:eastAsia="仿宋_GB2312" w:cs="Times New Roman"/>
                <w:color w:val="auto"/>
                <w:kern w:val="0"/>
                <w:sz w:val="20"/>
                <w:szCs w:val="20"/>
                <w:highlight w:val="none"/>
                <w:u w:val="none"/>
                <w:lang w:val="en-US" w:eastAsia="zh-CN"/>
              </w:rPr>
              <w:t>女</w:t>
            </w:r>
          </w:p>
        </w:tc>
        <w:tc>
          <w:tcPr>
            <w:tcW w:w="1410"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外部</w:t>
            </w:r>
            <w:r>
              <w:rPr>
                <w:rFonts w:hint="default" w:ascii="Times New Roman" w:hAnsi="Times New Roman" w:eastAsia="仿宋_GB2312" w:cs="Times New Roman"/>
                <w:color w:val="auto"/>
                <w:kern w:val="0"/>
                <w:sz w:val="21"/>
                <w:szCs w:val="21"/>
                <w:highlight w:val="none"/>
                <w:u w:val="none"/>
              </w:rPr>
              <w:t>监事</w:t>
            </w:r>
          </w:p>
        </w:tc>
        <w:tc>
          <w:tcPr>
            <w:tcW w:w="690"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58</w:t>
            </w:r>
          </w:p>
        </w:tc>
        <w:tc>
          <w:tcPr>
            <w:tcW w:w="1005"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2021.04</w:t>
            </w:r>
          </w:p>
        </w:tc>
        <w:tc>
          <w:tcPr>
            <w:tcW w:w="4987" w:type="dxa"/>
            <w:tcBorders>
              <w:top w:val="nil"/>
              <w:left w:val="nil"/>
              <w:bottom w:val="single" w:color="auto" w:sz="4" w:space="0"/>
              <w:right w:val="single" w:color="000000" w:sz="6" w:space="0"/>
            </w:tcBorders>
            <w:shd w:val="clear" w:color="auto" w:fill="FFFFFF"/>
            <w:tcMar>
              <w:top w:w="0" w:type="dxa"/>
              <w:left w:w="105" w:type="dxa"/>
              <w:bottom w:w="0" w:type="dxa"/>
              <w:right w:w="105" w:type="dxa"/>
            </w:tcMar>
            <w:vAlign w:val="center"/>
          </w:tcPr>
          <w:p>
            <w:pPr>
              <w:widowControl/>
              <w:spacing w:after="150" w:line="240" w:lineRule="atLeast"/>
              <w:jc w:val="left"/>
              <w:rPr>
                <w:rFonts w:hint="default" w:ascii="Times New Roman" w:hAnsi="Times New Roman" w:eastAsia="仿宋_GB2312"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中国农业银行太原分行内控合规部内控检查组长、山西银行外部监事</w:t>
            </w:r>
          </w:p>
        </w:tc>
      </w:tr>
      <w:tr>
        <w:tblPrEx>
          <w:shd w:val="clear" w:color="auto" w:fill="FFFFFF"/>
          <w:tblLayout w:type="fixed"/>
          <w:tblCellMar>
            <w:top w:w="0" w:type="dxa"/>
            <w:left w:w="0" w:type="dxa"/>
            <w:bottom w:w="0" w:type="dxa"/>
            <w:right w:w="0" w:type="dxa"/>
          </w:tblCellMar>
        </w:tblPrEx>
        <w:trPr>
          <w:trHeight w:val="703" w:hRule="atLeast"/>
          <w:jc w:val="center"/>
        </w:trPr>
        <w:tc>
          <w:tcPr>
            <w:tcW w:w="1005" w:type="dxa"/>
            <w:tcBorders>
              <w:top w:val="single" w:color="auto" w:sz="4" w:space="0"/>
              <w:left w:val="single" w:color="auto" w:sz="4"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u w:val="none"/>
                <w:lang w:val="en-US" w:eastAsia="zh-CN"/>
              </w:rPr>
            </w:pPr>
            <w:r>
              <w:rPr>
                <w:rFonts w:hint="default" w:ascii="Times New Roman" w:hAnsi="Times New Roman" w:eastAsia="仿宋_GB2312" w:cs="Times New Roman"/>
                <w:color w:val="auto"/>
                <w:kern w:val="0"/>
                <w:sz w:val="20"/>
                <w:szCs w:val="20"/>
                <w:highlight w:val="none"/>
                <w:u w:val="none"/>
                <w:lang w:val="en-US" w:eastAsia="zh-CN"/>
              </w:rPr>
              <w:t>任  芳</w:t>
            </w:r>
          </w:p>
        </w:tc>
        <w:tc>
          <w:tcPr>
            <w:tcW w:w="548" w:type="dxa"/>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jc w:val="center"/>
              <w:textAlignment w:val="center"/>
              <w:rPr>
                <w:rFonts w:hint="default" w:ascii="Times New Roman" w:hAnsi="Times New Roman" w:eastAsia="仿宋_GB2312" w:cs="Times New Roman"/>
                <w:color w:val="auto"/>
                <w:kern w:val="0"/>
                <w:sz w:val="20"/>
                <w:szCs w:val="20"/>
                <w:highlight w:val="none"/>
                <w:u w:val="none"/>
                <w:lang w:val="en-US" w:eastAsia="zh-CN"/>
              </w:rPr>
            </w:pPr>
            <w:r>
              <w:rPr>
                <w:rFonts w:hint="default" w:ascii="Times New Roman" w:hAnsi="Times New Roman" w:eastAsia="仿宋_GB2312" w:cs="Times New Roman"/>
                <w:color w:val="auto"/>
                <w:kern w:val="0"/>
                <w:sz w:val="20"/>
                <w:szCs w:val="20"/>
                <w:highlight w:val="none"/>
                <w:u w:val="none"/>
                <w:lang w:val="en-US" w:eastAsia="zh-CN"/>
              </w:rPr>
              <w:t>男</w:t>
            </w:r>
          </w:p>
        </w:tc>
        <w:tc>
          <w:tcPr>
            <w:tcW w:w="1410" w:type="dxa"/>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职工监事</w:t>
            </w:r>
          </w:p>
        </w:tc>
        <w:tc>
          <w:tcPr>
            <w:tcW w:w="690" w:type="dxa"/>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42</w:t>
            </w:r>
          </w:p>
        </w:tc>
        <w:tc>
          <w:tcPr>
            <w:tcW w:w="1005" w:type="dxa"/>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2021.04</w:t>
            </w:r>
          </w:p>
        </w:tc>
        <w:tc>
          <w:tcPr>
            <w:tcW w:w="4987" w:type="dxa"/>
            <w:tcBorders>
              <w:top w:val="single" w:color="auto" w:sz="4"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widowControl/>
              <w:spacing w:after="150" w:line="240" w:lineRule="atLeast"/>
              <w:jc w:val="left"/>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原长治银行审计部总经理助理、山西银行职工监事、监事会办公室主任助理</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1"/>
        <w:rPr>
          <w:rFonts w:hint="default" w:ascii="Times New Roman" w:hAnsi="Times New Roman" w:eastAsia="楷体_GB2312" w:cs="Times New Roman"/>
          <w:color w:val="auto"/>
          <w:kern w:val="0"/>
          <w:sz w:val="32"/>
          <w:szCs w:val="32"/>
          <w:highlight w:val="none"/>
          <w:u w:val="none"/>
        </w:rPr>
      </w:pPr>
      <w:r>
        <w:rPr>
          <w:rFonts w:hint="default" w:ascii="Times New Roman" w:hAnsi="Times New Roman" w:eastAsia="仿宋_GB2312" w:cs="Times New Roman"/>
          <w:b w:val="0"/>
          <w:bCs w:val="0"/>
          <w:color w:val="auto"/>
          <w:sz w:val="24"/>
          <w:szCs w:val="24"/>
        </w:rPr>
        <w:t>备注：</w:t>
      </w:r>
      <w:r>
        <w:rPr>
          <w:rFonts w:hint="default" w:ascii="Times New Roman" w:hAnsi="Times New Roman" w:eastAsia="仿宋_GB2312" w:cs="Times New Roman"/>
          <w:b w:val="0"/>
          <w:bCs w:val="0"/>
          <w:color w:val="auto"/>
          <w:sz w:val="24"/>
          <w:szCs w:val="24"/>
          <w:lang w:val="en-US" w:eastAsia="zh-CN"/>
        </w:rPr>
        <w:t>报告期内</w:t>
      </w:r>
      <w:r>
        <w:rPr>
          <w:rFonts w:hint="default" w:ascii="Times New Roman" w:hAnsi="Times New Roman" w:cs="Times New Roman"/>
          <w:b w:val="0"/>
          <w:bCs w:val="0"/>
          <w:color w:val="auto"/>
          <w:sz w:val="24"/>
          <w:szCs w:val="24"/>
          <w:lang w:val="en-US" w:eastAsia="zh-CN"/>
        </w:rPr>
        <w:t>监</w:t>
      </w:r>
      <w:r>
        <w:rPr>
          <w:rFonts w:hint="default" w:ascii="Times New Roman" w:hAnsi="Times New Roman" w:eastAsia="仿宋_GB2312" w:cs="Times New Roman"/>
          <w:b w:val="0"/>
          <w:bCs w:val="0"/>
          <w:color w:val="auto"/>
          <w:sz w:val="24"/>
          <w:szCs w:val="24"/>
          <w:lang w:val="en-US" w:eastAsia="zh-CN"/>
        </w:rPr>
        <w:t>事变动情况</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highlight w:val="none"/>
          <w:lang w:val="en-US" w:eastAsia="zh-CN"/>
        </w:rPr>
        <w:t>根据《山西省人民政府关于张新伟等8人任免职务的通知》（晋政任〔2023〕38号），姚庆民先生不再担任山西银行第一届监事会监事长。</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楷体_GB2312" w:cs="Times New Roman"/>
          <w:color w:val="auto"/>
          <w:kern w:val="0"/>
          <w:sz w:val="24"/>
          <w:szCs w:val="24"/>
          <w:highlight w:val="none"/>
          <w:u w:val="none"/>
          <w:lang w:eastAsia="zh-CN"/>
        </w:rPr>
      </w:pPr>
      <w:r>
        <w:rPr>
          <w:rFonts w:hint="default" w:ascii="Times New Roman" w:hAnsi="Times New Roman" w:eastAsia="楷体_GB2312" w:cs="Times New Roman"/>
          <w:color w:val="auto"/>
          <w:kern w:val="0"/>
          <w:sz w:val="32"/>
          <w:szCs w:val="32"/>
          <w:highlight w:val="none"/>
          <w:u w:val="none"/>
        </w:rPr>
        <w:t>（三）高级管理人员任职情况</w:t>
      </w:r>
    </w:p>
    <w:tbl>
      <w:tblPr>
        <w:tblStyle w:val="13"/>
        <w:tblW w:w="9645" w:type="dxa"/>
        <w:jc w:val="center"/>
        <w:tblInd w:w="0" w:type="dxa"/>
        <w:shd w:val="clear" w:color="auto" w:fill="FFFFFF"/>
        <w:tblLayout w:type="fixed"/>
        <w:tblCellMar>
          <w:top w:w="0" w:type="dxa"/>
          <w:left w:w="0" w:type="dxa"/>
          <w:bottom w:w="0" w:type="dxa"/>
          <w:right w:w="0" w:type="dxa"/>
        </w:tblCellMar>
      </w:tblPr>
      <w:tblGrid>
        <w:gridCol w:w="1013"/>
        <w:gridCol w:w="572"/>
        <w:gridCol w:w="1378"/>
        <w:gridCol w:w="705"/>
        <w:gridCol w:w="1020"/>
        <w:gridCol w:w="4957"/>
      </w:tblGrid>
      <w:tr>
        <w:tblPrEx>
          <w:tblLayout w:type="fixed"/>
          <w:tblCellMar>
            <w:top w:w="0" w:type="dxa"/>
            <w:left w:w="0" w:type="dxa"/>
            <w:bottom w:w="0" w:type="dxa"/>
            <w:right w:w="0" w:type="dxa"/>
          </w:tblCellMar>
        </w:tblPrEx>
        <w:trPr>
          <w:trHeight w:val="630" w:hRule="atLeast"/>
          <w:jc w:val="center"/>
        </w:trPr>
        <w:tc>
          <w:tcPr>
            <w:tcW w:w="1013"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姓名</w:t>
            </w:r>
          </w:p>
        </w:tc>
        <w:tc>
          <w:tcPr>
            <w:tcW w:w="572"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性别</w:t>
            </w:r>
          </w:p>
        </w:tc>
        <w:tc>
          <w:tcPr>
            <w:tcW w:w="137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主要职务</w:t>
            </w:r>
          </w:p>
        </w:tc>
        <w:tc>
          <w:tcPr>
            <w:tcW w:w="7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年龄</w:t>
            </w:r>
          </w:p>
        </w:tc>
        <w:tc>
          <w:tcPr>
            <w:tcW w:w="102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任期起始时间</w:t>
            </w:r>
          </w:p>
        </w:tc>
        <w:tc>
          <w:tcPr>
            <w:tcW w:w="495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after="150"/>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近三年主要工作经历</w:t>
            </w:r>
          </w:p>
        </w:tc>
      </w:tr>
      <w:tr>
        <w:tblPrEx>
          <w:shd w:val="clear" w:color="auto" w:fill="FFFFFF"/>
          <w:tblLayout w:type="fixed"/>
          <w:tblCellMar>
            <w:top w:w="0" w:type="dxa"/>
            <w:left w:w="0" w:type="dxa"/>
            <w:bottom w:w="0" w:type="dxa"/>
            <w:right w:w="0" w:type="dxa"/>
          </w:tblCellMar>
        </w:tblPrEx>
        <w:trPr>
          <w:trHeight w:val="590" w:hRule="atLeast"/>
          <w:jc w:val="center"/>
        </w:trPr>
        <w:tc>
          <w:tcPr>
            <w:tcW w:w="1013"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lang w:eastAsia="zh-CN"/>
              </w:rPr>
            </w:pPr>
            <w:r>
              <w:rPr>
                <w:rFonts w:hint="default" w:ascii="Times New Roman" w:hAnsi="Times New Roman" w:cs="Times New Roman"/>
                <w:color w:val="auto"/>
                <w:sz w:val="20"/>
                <w:szCs w:val="20"/>
                <w:highlight w:val="none"/>
                <w:u w:val="none"/>
                <w:lang w:val="en-US" w:eastAsia="zh-CN"/>
              </w:rPr>
              <w:t>任  凯</w:t>
            </w:r>
          </w:p>
        </w:tc>
        <w:tc>
          <w:tcPr>
            <w:tcW w:w="5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37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党委副书记</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副董事长</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行长</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lang w:val="en-US"/>
              </w:rPr>
            </w:pPr>
            <w:r>
              <w:rPr>
                <w:rFonts w:hint="default" w:ascii="Times New Roman" w:hAnsi="Times New Roman" w:cs="Times New Roman"/>
                <w:color w:val="auto"/>
                <w:kern w:val="0"/>
                <w:sz w:val="21"/>
                <w:szCs w:val="21"/>
                <w:highlight w:val="none"/>
                <w:u w:val="none"/>
                <w:lang w:val="en-US" w:eastAsia="zh-CN"/>
              </w:rPr>
              <w:t>52</w:t>
            </w:r>
          </w:p>
        </w:tc>
        <w:tc>
          <w:tcPr>
            <w:tcW w:w="10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2022.03</w:t>
            </w:r>
          </w:p>
        </w:tc>
        <w:tc>
          <w:tcPr>
            <w:tcW w:w="495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山西省委政研室（省委改革办、省转型综改办）副主任，</w:t>
            </w:r>
            <w:r>
              <w:rPr>
                <w:rFonts w:hint="default" w:ascii="Times New Roman" w:hAnsi="Times New Roman" w:cs="Times New Roman"/>
                <w:color w:val="auto"/>
                <w:kern w:val="0"/>
                <w:sz w:val="21"/>
                <w:szCs w:val="21"/>
                <w:highlight w:val="none"/>
                <w:u w:val="none"/>
                <w:lang w:val="en-US" w:eastAsia="zh-CN"/>
              </w:rPr>
              <w:t>山西</w:t>
            </w:r>
            <w:r>
              <w:rPr>
                <w:rFonts w:hint="default" w:ascii="Times New Roman" w:hAnsi="Times New Roman" w:eastAsia="仿宋_GB2312" w:cs="Times New Roman"/>
                <w:color w:val="auto"/>
                <w:kern w:val="0"/>
                <w:sz w:val="21"/>
                <w:szCs w:val="21"/>
                <w:highlight w:val="none"/>
                <w:u w:val="none"/>
                <w:lang w:val="en-US" w:eastAsia="zh-CN"/>
              </w:rPr>
              <w:t>省发改委党组成员、副主任，吕梁市委副书记、政法委书记，山西银行党委副书记、副董事长、行长</w:t>
            </w:r>
          </w:p>
        </w:tc>
      </w:tr>
      <w:tr>
        <w:tblPrEx>
          <w:shd w:val="clear" w:color="auto" w:fill="FFFFFF"/>
          <w:tblLayout w:type="fixed"/>
          <w:tblCellMar>
            <w:top w:w="0" w:type="dxa"/>
            <w:left w:w="0" w:type="dxa"/>
            <w:bottom w:w="0" w:type="dxa"/>
            <w:right w:w="0" w:type="dxa"/>
          </w:tblCellMar>
        </w:tblPrEx>
        <w:trPr>
          <w:trHeight w:val="590" w:hRule="atLeast"/>
          <w:jc w:val="center"/>
        </w:trPr>
        <w:tc>
          <w:tcPr>
            <w:tcW w:w="1013"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sz w:val="20"/>
                <w:szCs w:val="20"/>
                <w:highlight w:val="none"/>
                <w:u w:val="none"/>
              </w:rPr>
              <w:t>乔昱瑞</w:t>
            </w:r>
          </w:p>
        </w:tc>
        <w:tc>
          <w:tcPr>
            <w:tcW w:w="5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37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rPr>
              <w:t>党委</w:t>
            </w:r>
            <w:r>
              <w:rPr>
                <w:rFonts w:hint="default" w:ascii="Times New Roman" w:hAnsi="Times New Roman" w:cs="Times New Roman"/>
                <w:color w:val="auto"/>
                <w:kern w:val="0"/>
                <w:sz w:val="21"/>
                <w:szCs w:val="21"/>
                <w:highlight w:val="none"/>
                <w:u w:val="none"/>
                <w:lang w:val="en-US" w:eastAsia="zh-CN"/>
              </w:rPr>
              <w:t>委员</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副行长</w:t>
            </w: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43</w:t>
            </w:r>
          </w:p>
        </w:tc>
        <w:tc>
          <w:tcPr>
            <w:tcW w:w="102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2021.0</w:t>
            </w:r>
            <w:r>
              <w:rPr>
                <w:rFonts w:hint="default" w:ascii="Times New Roman" w:hAnsi="Times New Roman" w:cs="Times New Roman"/>
                <w:color w:val="auto"/>
                <w:kern w:val="0"/>
                <w:sz w:val="21"/>
                <w:szCs w:val="21"/>
                <w:highlight w:val="none"/>
                <w:u w:val="none"/>
                <w:lang w:val="en-US" w:eastAsia="zh-CN"/>
              </w:rPr>
              <w:t>4</w:t>
            </w:r>
          </w:p>
        </w:tc>
        <w:tc>
          <w:tcPr>
            <w:tcW w:w="495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left"/>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rPr>
              <w:t>山西省地方金融监督管理局互联网金融处处长</w:t>
            </w:r>
            <w:r>
              <w:rPr>
                <w:rFonts w:hint="default" w:ascii="Times New Roman" w:hAnsi="Times New Roman" w:eastAsia="仿宋_GB2312"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rPr>
              <w:t>金融稳定处处长兼银行机构发展处处长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cs="Times New Roman"/>
                <w:color w:val="auto"/>
                <w:kern w:val="0"/>
                <w:sz w:val="21"/>
                <w:szCs w:val="21"/>
                <w:highlight w:val="none"/>
                <w:u w:val="none"/>
                <w:lang w:val="en-US" w:eastAsia="zh-CN"/>
              </w:rPr>
              <w:t>山西</w:t>
            </w:r>
            <w:r>
              <w:rPr>
                <w:rFonts w:hint="default" w:ascii="Times New Roman" w:hAnsi="Times New Roman" w:eastAsia="仿宋_GB2312" w:cs="Times New Roman"/>
                <w:color w:val="auto"/>
                <w:kern w:val="0"/>
                <w:sz w:val="21"/>
                <w:szCs w:val="21"/>
                <w:highlight w:val="none"/>
                <w:u w:val="none"/>
              </w:rPr>
              <w:t>省城商行改革化险工作筹备组副组长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lang w:val="en-US" w:eastAsia="zh-CN"/>
              </w:rPr>
              <w:t>山西银行董事会秘书</w:t>
            </w:r>
            <w:r>
              <w:rPr>
                <w:rFonts w:hint="default" w:ascii="Times New Roman" w:hAnsi="Times New Roman" w:cs="Times New Roman"/>
                <w:color w:val="auto"/>
                <w:kern w:val="0"/>
                <w:sz w:val="21"/>
                <w:szCs w:val="21"/>
                <w:highlight w:val="none"/>
                <w:u w:val="none"/>
                <w:lang w:val="en-US" w:eastAsia="zh-CN"/>
              </w:rPr>
              <w:t>，山西银行</w:t>
            </w:r>
            <w:r>
              <w:rPr>
                <w:rFonts w:hint="default" w:ascii="Times New Roman" w:hAnsi="Times New Roman" w:eastAsia="仿宋_GB2312" w:cs="Times New Roman"/>
                <w:color w:val="auto"/>
                <w:kern w:val="0"/>
                <w:sz w:val="21"/>
                <w:szCs w:val="21"/>
                <w:highlight w:val="none"/>
                <w:u w:val="none"/>
                <w:lang w:val="en-US" w:eastAsia="zh-CN"/>
              </w:rPr>
              <w:t>党委委员、副行长</w:t>
            </w:r>
          </w:p>
        </w:tc>
      </w:tr>
      <w:tr>
        <w:tblPrEx>
          <w:shd w:val="clear" w:color="auto" w:fill="FFFFFF"/>
          <w:tblLayout w:type="fixed"/>
          <w:tblCellMar>
            <w:top w:w="0" w:type="dxa"/>
            <w:left w:w="0" w:type="dxa"/>
            <w:bottom w:w="0" w:type="dxa"/>
            <w:right w:w="0" w:type="dxa"/>
          </w:tblCellMar>
        </w:tblPrEx>
        <w:trPr>
          <w:trHeight w:val="590" w:hRule="atLeast"/>
          <w:jc w:val="center"/>
        </w:trPr>
        <w:tc>
          <w:tcPr>
            <w:tcW w:w="1013" w:type="dxa"/>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sz w:val="20"/>
                <w:szCs w:val="20"/>
                <w:highlight w:val="none"/>
                <w:u w:val="none"/>
              </w:rPr>
              <w:t>吴</w:t>
            </w:r>
            <w:r>
              <w:rPr>
                <w:rFonts w:hint="default" w:ascii="Times New Roman" w:hAnsi="Times New Roman" w:cs="Times New Roman"/>
                <w:color w:val="auto"/>
                <w:sz w:val="20"/>
                <w:szCs w:val="20"/>
                <w:highlight w:val="none"/>
                <w:u w:val="none"/>
                <w:lang w:val="en-US" w:eastAsia="zh-CN"/>
              </w:rPr>
              <w:t xml:space="preserve">  </w:t>
            </w:r>
            <w:r>
              <w:rPr>
                <w:rFonts w:hint="default" w:ascii="Times New Roman" w:hAnsi="Times New Roman" w:eastAsia="仿宋_GB2312" w:cs="Times New Roman"/>
                <w:color w:val="auto"/>
                <w:sz w:val="20"/>
                <w:szCs w:val="20"/>
                <w:highlight w:val="none"/>
                <w:u w:val="none"/>
              </w:rPr>
              <w:t>涛</w:t>
            </w:r>
          </w:p>
        </w:tc>
        <w:tc>
          <w:tcPr>
            <w:tcW w:w="572"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微软雅黑" w:cs="Times New Roman"/>
                <w:color w:val="auto"/>
                <w:kern w:val="0"/>
                <w:sz w:val="21"/>
                <w:szCs w:val="21"/>
                <w:highlight w:val="none"/>
                <w:u w:val="none"/>
                <w:lang w:eastAsia="zh-CN"/>
              </w:rPr>
            </w:pPr>
            <w:r>
              <w:rPr>
                <w:rFonts w:hint="default" w:ascii="Times New Roman" w:hAnsi="Times New Roman" w:cs="Times New Roman"/>
                <w:color w:val="auto"/>
                <w:kern w:val="0"/>
                <w:sz w:val="21"/>
                <w:szCs w:val="21"/>
                <w:highlight w:val="none"/>
                <w:u w:val="none"/>
                <w:lang w:val="en-US" w:eastAsia="zh-CN"/>
              </w:rPr>
              <w:t>女</w:t>
            </w:r>
          </w:p>
        </w:tc>
        <w:tc>
          <w:tcPr>
            <w:tcW w:w="1378"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党委委员</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cs="Times New Roman"/>
                <w:color w:val="auto"/>
                <w:kern w:val="0"/>
                <w:sz w:val="21"/>
                <w:szCs w:val="21"/>
                <w:highlight w:val="none"/>
                <w:u w:val="none"/>
                <w:lang w:val="en-US" w:eastAsia="zh-CN"/>
              </w:rPr>
              <w:t>副行长</w:t>
            </w:r>
          </w:p>
        </w:tc>
        <w:tc>
          <w:tcPr>
            <w:tcW w:w="705"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微软雅黑" w:cs="Times New Roman"/>
                <w:color w:val="auto"/>
                <w:kern w:val="0"/>
                <w:sz w:val="21"/>
                <w:szCs w:val="21"/>
                <w:highlight w:val="none"/>
                <w:u w:val="none"/>
                <w:lang w:val="en-US" w:eastAsia="zh-CN"/>
              </w:rPr>
            </w:pPr>
            <w:r>
              <w:rPr>
                <w:rFonts w:hint="default" w:ascii="Times New Roman" w:hAnsi="Times New Roman" w:cs="Times New Roman"/>
                <w:color w:val="auto"/>
                <w:kern w:val="0"/>
                <w:sz w:val="21"/>
                <w:szCs w:val="21"/>
                <w:highlight w:val="none"/>
                <w:u w:val="none"/>
                <w:lang w:val="en-US" w:eastAsia="zh-CN"/>
              </w:rPr>
              <w:t>55</w:t>
            </w:r>
          </w:p>
        </w:tc>
        <w:tc>
          <w:tcPr>
            <w:tcW w:w="1020"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微软雅黑" w:cs="Times New Roman"/>
                <w:color w:val="auto"/>
                <w:kern w:val="0"/>
                <w:sz w:val="21"/>
                <w:szCs w:val="21"/>
                <w:highlight w:val="none"/>
                <w:u w:val="none"/>
              </w:rPr>
            </w:pPr>
            <w:r>
              <w:rPr>
                <w:rFonts w:hint="default" w:ascii="Times New Roman" w:hAnsi="Times New Roman" w:eastAsia="仿宋_GB2312" w:cs="Times New Roman"/>
                <w:color w:val="auto"/>
                <w:kern w:val="0"/>
                <w:sz w:val="21"/>
                <w:szCs w:val="21"/>
                <w:highlight w:val="none"/>
                <w:u w:val="none"/>
                <w:lang w:val="en-US" w:eastAsia="zh-CN"/>
              </w:rPr>
              <w:t>2021.0</w:t>
            </w:r>
            <w:r>
              <w:rPr>
                <w:rFonts w:hint="default" w:ascii="Times New Roman" w:hAnsi="Times New Roman" w:cs="Times New Roman"/>
                <w:color w:val="auto"/>
                <w:kern w:val="0"/>
                <w:sz w:val="21"/>
                <w:szCs w:val="21"/>
                <w:highlight w:val="none"/>
                <w:u w:val="none"/>
                <w:lang w:val="en-US" w:eastAsia="zh-CN"/>
              </w:rPr>
              <w:t>4</w:t>
            </w:r>
          </w:p>
        </w:tc>
        <w:tc>
          <w:tcPr>
            <w:tcW w:w="4957" w:type="dxa"/>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left"/>
              <w:rPr>
                <w:rFonts w:hint="default" w:ascii="Times New Roman" w:hAnsi="Times New Roman" w:eastAsia="仿宋_GB2312" w:cs="Times New Roman"/>
                <w:color w:val="auto"/>
                <w:kern w:val="0"/>
                <w:sz w:val="21"/>
                <w:szCs w:val="21"/>
                <w:highlight w:val="none"/>
                <w:u w:val="none"/>
                <w:lang w:eastAsia="zh-CN"/>
              </w:rPr>
            </w:pPr>
            <w:r>
              <w:rPr>
                <w:rFonts w:hint="default" w:ascii="Times New Roman" w:hAnsi="Times New Roman" w:eastAsia="仿宋_GB2312" w:cs="Times New Roman"/>
                <w:color w:val="auto"/>
                <w:kern w:val="0"/>
                <w:sz w:val="21"/>
                <w:szCs w:val="21"/>
                <w:highlight w:val="none"/>
                <w:u w:val="none"/>
              </w:rPr>
              <w:t>中国人民银行太原中心支行金融稳定处调研员</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rPr>
              <w:t>省城商行改革化险工作筹备组副组长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cs="Times New Roman"/>
                <w:color w:val="auto"/>
                <w:kern w:val="0"/>
                <w:sz w:val="21"/>
                <w:szCs w:val="21"/>
                <w:highlight w:val="none"/>
                <w:u w:val="none"/>
                <w:lang w:val="en-US" w:eastAsia="zh-CN"/>
              </w:rPr>
              <w:t>原晋中银行党委副书记、代行长</w:t>
            </w:r>
            <w:r>
              <w:rPr>
                <w:rFonts w:hint="default" w:ascii="Times New Roman" w:hAnsi="Times New Roman" w:cs="Times New Roman"/>
                <w:color w:val="auto"/>
                <w:kern w:val="0"/>
                <w:sz w:val="21"/>
                <w:szCs w:val="21"/>
                <w:highlight w:val="none"/>
                <w:u w:val="none"/>
                <w:lang w:eastAsia="zh-CN"/>
              </w:rPr>
              <w:t>，</w:t>
            </w:r>
            <w:r>
              <w:rPr>
                <w:rFonts w:hint="default" w:ascii="Times New Roman" w:hAnsi="Times New Roman" w:eastAsia="仿宋_GB2312" w:cs="Times New Roman"/>
                <w:color w:val="auto"/>
                <w:kern w:val="0"/>
                <w:sz w:val="21"/>
                <w:szCs w:val="21"/>
                <w:highlight w:val="none"/>
                <w:u w:val="none"/>
                <w:lang w:val="en-US" w:eastAsia="zh-CN"/>
              </w:rPr>
              <w:t>山西银行</w:t>
            </w:r>
            <w:r>
              <w:rPr>
                <w:rFonts w:hint="default" w:ascii="Times New Roman" w:hAnsi="Times New Roman" w:cs="Times New Roman"/>
                <w:color w:val="auto"/>
                <w:kern w:val="0"/>
                <w:sz w:val="21"/>
                <w:szCs w:val="21"/>
                <w:highlight w:val="none"/>
                <w:u w:val="none"/>
                <w:lang w:val="en-US" w:eastAsia="zh-CN"/>
              </w:rPr>
              <w:t>党委委员、</w:t>
            </w:r>
            <w:r>
              <w:rPr>
                <w:rFonts w:hint="default" w:ascii="Times New Roman" w:hAnsi="Times New Roman" w:eastAsia="仿宋_GB2312" w:cs="Times New Roman"/>
                <w:color w:val="auto"/>
                <w:kern w:val="0"/>
                <w:sz w:val="21"/>
                <w:szCs w:val="21"/>
                <w:highlight w:val="none"/>
                <w:u w:val="none"/>
                <w:lang w:val="en-US" w:eastAsia="zh-CN"/>
              </w:rPr>
              <w:t>副行长</w:t>
            </w:r>
          </w:p>
        </w:tc>
      </w:tr>
      <w:tr>
        <w:tblPrEx>
          <w:tblLayout w:type="fixed"/>
          <w:tblCellMar>
            <w:top w:w="0" w:type="dxa"/>
            <w:left w:w="0" w:type="dxa"/>
            <w:bottom w:w="0" w:type="dxa"/>
            <w:right w:w="0" w:type="dxa"/>
          </w:tblCellMar>
        </w:tblPrEx>
        <w:trPr>
          <w:trHeight w:val="590" w:hRule="atLeast"/>
          <w:jc w:val="center"/>
        </w:trPr>
        <w:tc>
          <w:tcPr>
            <w:tcW w:w="1013"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eastAsia="仿宋_GB2312" w:cs="Times New Roman"/>
                <w:color w:val="auto"/>
                <w:sz w:val="20"/>
                <w:szCs w:val="20"/>
                <w:highlight w:val="none"/>
                <w:u w:val="none"/>
                <w:lang w:val="en-US" w:eastAsia="zh-CN"/>
              </w:rPr>
              <w:t>解志敏</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副行长</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48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2022.05</w:t>
            </w:r>
          </w:p>
        </w:tc>
        <w:tc>
          <w:tcPr>
            <w:tcW w:w="495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山西省地方金融监督管理局（省政府金融工作办公室）非银行金融机构发展处处长、监管一处处长，山西银行副行长</w:t>
            </w:r>
          </w:p>
        </w:tc>
      </w:tr>
      <w:tr>
        <w:tblPrEx>
          <w:tblLayout w:type="fixed"/>
          <w:tblCellMar>
            <w:top w:w="0" w:type="dxa"/>
            <w:left w:w="0" w:type="dxa"/>
            <w:bottom w:w="0" w:type="dxa"/>
            <w:right w:w="0" w:type="dxa"/>
          </w:tblCellMar>
        </w:tblPrEx>
        <w:trPr>
          <w:trHeight w:val="590" w:hRule="atLeast"/>
          <w:jc w:val="center"/>
        </w:trPr>
        <w:tc>
          <w:tcPr>
            <w:tcW w:w="1013"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秦  凯</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rPr>
            </w:pPr>
            <w:r>
              <w:rPr>
                <w:rFonts w:hint="default" w:ascii="Times New Roman" w:hAnsi="Times New Roman" w:cs="Times New Roman"/>
                <w:color w:val="auto"/>
                <w:sz w:val="20"/>
                <w:szCs w:val="20"/>
                <w:highlight w:val="none"/>
                <w:u w:val="none"/>
                <w:lang w:val="en-US" w:eastAsia="zh-CN"/>
              </w:rPr>
              <w:t>副行长</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45</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2022.08</w:t>
            </w:r>
          </w:p>
        </w:tc>
        <w:tc>
          <w:tcPr>
            <w:tcW w:w="495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国家开发银行江苏分行德国工作组副组长、国家开发银行江苏分行国际合作业务一处处长</w:t>
            </w:r>
            <w:r>
              <w:rPr>
                <w:rFonts w:hint="default" w:ascii="Times New Roman" w:hAnsi="Times New Roman" w:cs="Times New Roman"/>
                <w:color w:val="auto"/>
                <w:kern w:val="0"/>
                <w:sz w:val="21"/>
                <w:szCs w:val="21"/>
                <w:highlight w:val="none"/>
                <w:u w:val="none"/>
                <w:lang w:val="en-US" w:eastAsia="zh-CN"/>
              </w:rPr>
              <w:t>、山西银行副行长</w:t>
            </w:r>
          </w:p>
        </w:tc>
      </w:tr>
      <w:tr>
        <w:tblPrEx>
          <w:shd w:val="clear" w:color="auto" w:fill="FFFFFF"/>
          <w:tblLayout w:type="fixed"/>
          <w:tblCellMar>
            <w:top w:w="0" w:type="dxa"/>
            <w:left w:w="0" w:type="dxa"/>
            <w:bottom w:w="0" w:type="dxa"/>
            <w:right w:w="0" w:type="dxa"/>
          </w:tblCellMar>
        </w:tblPrEx>
        <w:trPr>
          <w:trHeight w:val="590" w:hRule="atLeast"/>
          <w:jc w:val="center"/>
        </w:trPr>
        <w:tc>
          <w:tcPr>
            <w:tcW w:w="1013"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高鸿斋</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rPr>
            </w:pPr>
            <w:r>
              <w:rPr>
                <w:rFonts w:hint="default" w:ascii="Times New Roman" w:hAnsi="Times New Roman" w:eastAsia="仿宋_GB2312" w:cs="Times New Roman"/>
                <w:color w:val="auto"/>
                <w:kern w:val="0"/>
                <w:sz w:val="21"/>
                <w:szCs w:val="21"/>
                <w:highlight w:val="none"/>
                <w:u w:val="none"/>
              </w:rPr>
              <w:t>男</w:t>
            </w:r>
          </w:p>
        </w:tc>
        <w:tc>
          <w:tcPr>
            <w:tcW w:w="1378"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董事会秘书</w:t>
            </w:r>
          </w:p>
        </w:tc>
        <w:tc>
          <w:tcPr>
            <w:tcW w:w="705"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color w:val="auto"/>
                <w:sz w:val="20"/>
                <w:szCs w:val="20"/>
                <w:highlight w:val="none"/>
                <w:u w:val="none"/>
                <w:lang w:val="en-US" w:eastAsia="zh-CN"/>
              </w:rPr>
            </w:pPr>
            <w:r>
              <w:rPr>
                <w:rFonts w:hint="default" w:ascii="Times New Roman" w:hAnsi="Times New Roman" w:cs="Times New Roman"/>
                <w:color w:val="auto"/>
                <w:sz w:val="20"/>
                <w:szCs w:val="20"/>
                <w:highlight w:val="none"/>
                <w:u w:val="none"/>
                <w:lang w:val="en-US" w:eastAsia="zh-CN"/>
              </w:rPr>
              <w:t>48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after="150" w:line="300" w:lineRule="exact"/>
              <w:jc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2022.07</w:t>
            </w:r>
          </w:p>
        </w:tc>
        <w:tc>
          <w:tcPr>
            <w:tcW w:w="4957" w:type="dxa"/>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color w:val="auto"/>
                <w:kern w:val="0"/>
                <w:sz w:val="21"/>
                <w:szCs w:val="21"/>
                <w:highlight w:val="none"/>
                <w:u w:val="none"/>
                <w:lang w:val="en-US" w:eastAsia="zh-CN"/>
              </w:rPr>
            </w:pPr>
            <w:r>
              <w:rPr>
                <w:rFonts w:hint="default" w:ascii="Times New Roman" w:hAnsi="Times New Roman" w:eastAsia="仿宋_GB2312" w:cs="Times New Roman"/>
                <w:color w:val="auto"/>
                <w:kern w:val="0"/>
                <w:sz w:val="21"/>
                <w:szCs w:val="21"/>
                <w:highlight w:val="none"/>
                <w:u w:val="none"/>
                <w:lang w:val="en-US" w:eastAsia="zh-CN"/>
              </w:rPr>
              <w:t>山西交通控股集团交控资本管理公司支部书记、董事长，山西交通控股集团交控金资管理公司党委书记、董事长，山西银行</w:t>
            </w:r>
            <w:r>
              <w:rPr>
                <w:rFonts w:hint="default" w:ascii="Times New Roman" w:hAnsi="Times New Roman" w:cs="Times New Roman"/>
                <w:color w:val="auto"/>
                <w:kern w:val="0"/>
                <w:sz w:val="21"/>
                <w:szCs w:val="21"/>
                <w:highlight w:val="none"/>
                <w:u w:val="none"/>
                <w:lang w:val="en-US" w:eastAsia="zh-CN"/>
              </w:rPr>
              <w:t>董事会秘书兼</w:t>
            </w:r>
            <w:r>
              <w:rPr>
                <w:rFonts w:hint="default" w:ascii="Times New Roman" w:hAnsi="Times New Roman" w:eastAsia="仿宋_GB2312" w:cs="Times New Roman"/>
                <w:color w:val="auto"/>
                <w:kern w:val="0"/>
                <w:sz w:val="21"/>
                <w:szCs w:val="21"/>
                <w:highlight w:val="none"/>
                <w:u w:val="none"/>
                <w:lang w:val="en-US" w:eastAsia="zh-CN"/>
              </w:rPr>
              <w:t>董事会办公室主任</w:t>
            </w:r>
            <w:r>
              <w:rPr>
                <w:rFonts w:hint="default" w:ascii="Times New Roman" w:hAnsi="Times New Roman" w:cs="Times New Roman"/>
                <w:color w:val="auto"/>
                <w:kern w:val="0"/>
                <w:sz w:val="21"/>
                <w:szCs w:val="21"/>
                <w:highlight w:val="none"/>
                <w:u w:val="none"/>
                <w:lang w:val="en-US" w:eastAsia="zh-CN"/>
              </w:rPr>
              <w:t>、</w:t>
            </w:r>
            <w:r>
              <w:rPr>
                <w:rFonts w:hint="default" w:ascii="Times New Roman" w:hAnsi="Times New Roman" w:eastAsia="仿宋_GB2312" w:cs="Times New Roman"/>
                <w:color w:val="auto"/>
                <w:kern w:val="0"/>
                <w:sz w:val="21"/>
                <w:szCs w:val="21"/>
                <w:highlight w:val="none"/>
                <w:u w:val="none"/>
                <w:lang w:val="en-US" w:eastAsia="zh-CN"/>
              </w:rPr>
              <w:t>战略发展与品牌管理部总经理</w:t>
            </w:r>
          </w:p>
        </w:tc>
      </w:tr>
    </w:tbl>
    <w:p>
      <w:pPr>
        <w:keepNext w:val="0"/>
        <w:keepLines w:val="0"/>
        <w:pageBreakBefore w:val="0"/>
        <w:widowControl/>
        <w:shd w:val="clear" w:color="auto" w:fill="FFFFFF"/>
        <w:kinsoku/>
        <w:wordWrap/>
        <w:overflowPunct/>
        <w:topLinePunct w:val="0"/>
        <w:bidi w:val="0"/>
        <w:spacing w:line="560" w:lineRule="exact"/>
        <w:ind w:firstLine="640" w:firstLineChars="200"/>
        <w:jc w:val="left"/>
        <w:textAlignment w:val="auto"/>
        <w:rPr>
          <w:rFonts w:hint="default" w:ascii="Times New Roman" w:hAnsi="Times New Roman" w:eastAsia="楷体_GB2312" w:cs="Times New Roman"/>
          <w:color w:val="333333"/>
          <w:kern w:val="0"/>
          <w:sz w:val="24"/>
          <w:szCs w:val="24"/>
          <w:highlight w:val="red"/>
          <w:lang w:eastAsia="zh-CN"/>
        </w:rPr>
      </w:pPr>
      <w:r>
        <w:rPr>
          <w:rFonts w:hint="default" w:ascii="Times New Roman" w:hAnsi="Times New Roman" w:eastAsia="楷体_GB2312" w:cs="Times New Roman"/>
          <w:color w:val="000000"/>
          <w:kern w:val="0"/>
          <w:sz w:val="32"/>
          <w:szCs w:val="32"/>
        </w:rPr>
        <w:t>（四）薪酬</w:t>
      </w:r>
      <w:r>
        <w:rPr>
          <w:rFonts w:hint="default" w:ascii="Times New Roman" w:hAnsi="Times New Roman" w:eastAsia="楷体_GB2312" w:cs="Times New Roman"/>
          <w:color w:val="000000"/>
          <w:kern w:val="0"/>
          <w:sz w:val="32"/>
          <w:szCs w:val="32"/>
          <w:lang w:val="en-US" w:eastAsia="zh-CN"/>
        </w:rPr>
        <w:t>水平</w:t>
      </w:r>
    </w:p>
    <w:p>
      <w:pPr>
        <w:keepNext w:val="0"/>
        <w:keepLines w:val="0"/>
        <w:pageBreakBefore w:val="0"/>
        <w:kinsoku/>
        <w:wordWrap/>
        <w:overflowPunct/>
        <w:topLinePunct w:val="0"/>
        <w:bidi w:val="0"/>
        <w:spacing w:line="560"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bidi="ar-SA"/>
        </w:rPr>
        <w:t>202</w:t>
      </w:r>
      <w:r>
        <w:rPr>
          <w:rFonts w:hint="default" w:ascii="Times New Roman" w:hAnsi="Times New Roman" w:cs="Times New Roman"/>
          <w:color w:val="auto"/>
          <w:kern w:val="0"/>
          <w:sz w:val="32"/>
          <w:szCs w:val="32"/>
          <w:highlight w:val="none"/>
          <w:lang w:val="en-US" w:eastAsia="zh-CN" w:bidi="ar-SA"/>
        </w:rPr>
        <w:t>3</w:t>
      </w:r>
      <w:r>
        <w:rPr>
          <w:rFonts w:hint="default" w:ascii="Times New Roman" w:hAnsi="Times New Roman" w:eastAsia="仿宋_GB2312" w:cs="Times New Roman"/>
          <w:color w:val="auto"/>
          <w:kern w:val="0"/>
          <w:sz w:val="32"/>
          <w:szCs w:val="32"/>
          <w:highlight w:val="none"/>
          <w:lang w:val="en-US" w:eastAsia="zh-CN" w:bidi="ar-SA"/>
        </w:rPr>
        <w:t>年度，</w:t>
      </w:r>
      <w:r>
        <w:rPr>
          <w:rFonts w:hint="default" w:ascii="Times New Roman" w:hAnsi="Times New Roman" w:eastAsia="仿宋_GB2312" w:cs="Times New Roman"/>
          <w:color w:val="auto"/>
          <w:sz w:val="32"/>
          <w:szCs w:val="32"/>
          <w:highlight w:val="none"/>
          <w:lang w:val="en-US" w:eastAsia="zh-CN"/>
        </w:rPr>
        <w:t>本行董事、监事和高级管理人员税前薪酬合计710.99万元。</w:t>
      </w:r>
    </w:p>
    <w:p>
      <w:pPr>
        <w:pStyle w:val="2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eastAsia" w:eastAsia="黑体" w:cs="Times New Roman"/>
          <w:sz w:val="32"/>
          <w:szCs w:val="32"/>
          <w:lang w:val="en-US" w:eastAsia="zh-CN"/>
        </w:rPr>
        <w:t>四</w:t>
      </w:r>
      <w:r>
        <w:rPr>
          <w:rFonts w:hint="default" w:ascii="Times New Roman" w:hAnsi="Times New Roman" w:eastAsia="黑体" w:cs="Times New Roman"/>
          <w:sz w:val="32"/>
          <w:szCs w:val="32"/>
          <w:lang w:val="en-US" w:eastAsia="zh-CN"/>
        </w:rPr>
        <w:t>、董事会报告摘要</w:t>
      </w:r>
    </w:p>
    <w:p>
      <w:pPr>
        <w:pStyle w:val="23"/>
        <w:keepNext w:val="0"/>
        <w:keepLines w:val="0"/>
        <w:pageBreakBefore w:val="0"/>
        <w:kinsoku/>
        <w:wordWrap/>
        <w:overflowPunct/>
        <w:topLinePunct w:val="0"/>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报告期内，本行董事会按照《公司法》和公司章程赋予的职权，贯彻落实金融监管要求，严格执行股东大会授权，坚持稳中求进工作</w:t>
      </w:r>
      <w:bookmarkStart w:id="2" w:name="_GoBack"/>
      <w:bookmarkEnd w:id="2"/>
      <w:r>
        <w:rPr>
          <w:rFonts w:hint="default" w:ascii="Times New Roman" w:hAnsi="Times New Roman" w:eastAsia="仿宋_GB2312" w:cs="Times New Roman"/>
          <w:color w:val="auto"/>
          <w:sz w:val="32"/>
          <w:szCs w:val="32"/>
          <w:highlight w:val="none"/>
          <w:lang w:val="en-US" w:eastAsia="zh-CN"/>
        </w:rPr>
        <w:t>总基调，持续深化公司治理，推进内部改革和转型发展，强化风险管理和审计监督，圆满完成了全年的工作任务</w:t>
      </w:r>
      <w:r>
        <w:rPr>
          <w:rFonts w:hint="default" w:ascii="Times New Roman" w:hAnsi="Times New Roman" w:eastAsia="仿宋_GB2312" w:cs="Times New Roman"/>
          <w:b w:val="0"/>
          <w:bCs w:val="0"/>
          <w:color w:val="auto"/>
          <w:sz w:val="32"/>
          <w:szCs w:val="32"/>
          <w:highlight w:val="none"/>
          <w:lang w:val="en-US" w:eastAsia="zh-CN"/>
        </w:rPr>
        <w:t>。主要工作包括以下几个方面：</w:t>
      </w:r>
      <w:r>
        <w:rPr>
          <w:rFonts w:hint="default" w:ascii="Times New Roman" w:hAnsi="Times New Roman" w:eastAsia="仿宋_GB2312" w:cs="Times New Roman"/>
          <w:b/>
          <w:bCs/>
          <w:color w:val="auto"/>
          <w:sz w:val="32"/>
          <w:szCs w:val="32"/>
          <w:highlight w:val="none"/>
          <w:lang w:val="en-US" w:eastAsia="zh-CN"/>
        </w:rPr>
        <w:t>一是</w:t>
      </w:r>
      <w:r>
        <w:rPr>
          <w:rFonts w:hint="default" w:ascii="Times New Roman" w:hAnsi="Times New Roman" w:eastAsia="仿宋_GB2312" w:cs="Times New Roman"/>
          <w:b w:val="0"/>
          <w:bCs w:val="0"/>
          <w:color w:val="auto"/>
          <w:sz w:val="32"/>
          <w:szCs w:val="32"/>
          <w:lang w:val="en-US" w:eastAsia="zh-CN" w:bidi="zh-CN"/>
        </w:rPr>
        <w:t>以战略为引领，科学谋划年度工作，</w:t>
      </w:r>
      <w:r>
        <w:rPr>
          <w:rFonts w:hint="default" w:ascii="Times New Roman" w:hAnsi="Times New Roman" w:eastAsia="仿宋_GB2312" w:cs="Times New Roman"/>
          <w:color w:val="auto"/>
          <w:sz w:val="32"/>
          <w:szCs w:val="32"/>
          <w:lang w:val="en-US" w:eastAsia="zh-CN" w:bidi="zh-CN"/>
        </w:rPr>
        <w:t>聚焦深化改革、优化管理，</w:t>
      </w:r>
      <w:r>
        <w:rPr>
          <w:rFonts w:hint="default" w:ascii="Times New Roman" w:hAnsi="Times New Roman" w:eastAsia="仿宋_GB2312" w:cs="Times New Roman"/>
          <w:b w:val="0"/>
          <w:bCs w:val="0"/>
          <w:color w:val="auto"/>
          <w:sz w:val="32"/>
          <w:szCs w:val="32"/>
          <w:lang w:val="en-US" w:eastAsia="zh-CN" w:bidi="zh-CN"/>
        </w:rPr>
        <w:t>印发《山西银行2023年战略执行实施意见》</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color w:val="auto"/>
          <w:sz w:val="32"/>
          <w:szCs w:val="32"/>
          <w:lang w:val="en-US" w:eastAsia="zh-CN" w:bidi="zh-CN"/>
        </w:rPr>
        <w:t>强化战略执行，</w:t>
      </w:r>
      <w:r>
        <w:rPr>
          <w:rFonts w:hint="default" w:ascii="Times New Roman" w:hAnsi="Times New Roman" w:eastAsia="仿宋_GB2312" w:cs="Times New Roman"/>
          <w:b w:val="0"/>
          <w:bCs w:val="0"/>
          <w:sz w:val="32"/>
          <w:szCs w:val="32"/>
          <w:lang w:val="en-US" w:eastAsia="zh-CN"/>
        </w:rPr>
        <w:t>规范内部管理，</w:t>
      </w:r>
      <w:r>
        <w:rPr>
          <w:rFonts w:hint="default" w:ascii="Times New Roman" w:hAnsi="Times New Roman" w:eastAsia="仿宋_GB2312" w:cs="Times New Roman"/>
          <w:b w:val="0"/>
          <w:bCs w:val="0"/>
          <w:color w:val="auto"/>
          <w:sz w:val="32"/>
          <w:szCs w:val="32"/>
          <w:lang w:val="en-US" w:eastAsia="zh-CN" w:bidi="zh-CN"/>
        </w:rPr>
        <w:t>持续推动管理效能提升和各项工作稳步向好</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二是</w:t>
      </w:r>
      <w:r>
        <w:rPr>
          <w:rFonts w:hint="default" w:ascii="Times New Roman" w:hAnsi="Times New Roman" w:eastAsia="仿宋_GB2312" w:cs="Times New Roman"/>
          <w:b w:val="0"/>
          <w:bCs w:val="0"/>
          <w:color w:val="auto"/>
          <w:kern w:val="2"/>
          <w:sz w:val="32"/>
          <w:szCs w:val="32"/>
          <w:lang w:val="en-US" w:eastAsia="zh-CN" w:bidi="ar-SA"/>
        </w:rPr>
        <w:t>优化完善履职评价机制，推动董事高效履职；</w:t>
      </w:r>
      <w:r>
        <w:rPr>
          <w:rFonts w:hint="default" w:ascii="Times New Roman" w:hAnsi="Times New Roman" w:eastAsia="仿宋_GB2312" w:cs="Times New Roman"/>
          <w:b w:val="0"/>
          <w:bCs w:val="0"/>
          <w:color w:val="auto"/>
          <w:sz w:val="32"/>
          <w:szCs w:val="32"/>
          <w:lang w:val="en-US" w:eastAsia="zh-CN" w:bidi="zh-CN"/>
        </w:rPr>
        <w:t>增补独立董事，充实董事会履职力量；调整各专委会成员，</w:t>
      </w:r>
      <w:r>
        <w:rPr>
          <w:rFonts w:hint="default" w:ascii="Times New Roman" w:hAnsi="Times New Roman" w:eastAsia="仿宋_GB2312" w:cs="Times New Roman"/>
          <w:b w:val="0"/>
          <w:bCs w:val="0"/>
          <w:color w:val="auto"/>
          <w:sz w:val="32"/>
          <w:szCs w:val="32"/>
          <w:highlight w:val="none"/>
          <w:lang w:val="en-US" w:eastAsia="zh-CN"/>
        </w:rPr>
        <w:t>修订委员会相关议事规则，专业支撑能力进一步强化；</w:t>
      </w:r>
      <w:r>
        <w:rPr>
          <w:rFonts w:hint="default" w:ascii="Times New Roman" w:hAnsi="Times New Roman" w:eastAsia="仿宋_GB2312" w:cs="Times New Roman"/>
          <w:b/>
          <w:bCs/>
          <w:color w:val="auto"/>
          <w:sz w:val="32"/>
          <w:szCs w:val="32"/>
          <w:lang w:val="en-US" w:eastAsia="zh-CN"/>
        </w:rPr>
        <w:t>三是</w:t>
      </w:r>
      <w:r>
        <w:rPr>
          <w:rFonts w:hint="default" w:ascii="Times New Roman" w:hAnsi="Times New Roman" w:eastAsia="仿宋_GB2312" w:cs="Times New Roman"/>
          <w:b w:val="0"/>
          <w:bCs w:val="0"/>
          <w:color w:val="auto"/>
          <w:sz w:val="32"/>
          <w:szCs w:val="32"/>
          <w:lang w:val="en-US" w:eastAsia="zh-CN" w:bidi="zh-CN"/>
        </w:rPr>
        <w:t>持续规范股东股权管理，不断完善股权业务办理流程；规范开展大股东和主要股东行为管理，</w:t>
      </w:r>
      <w:r>
        <w:rPr>
          <w:rFonts w:hint="default" w:ascii="Times New Roman" w:hAnsi="Times New Roman" w:eastAsia="仿宋_GB2312" w:cs="Times New Roman"/>
          <w:b w:val="0"/>
          <w:bCs w:val="0"/>
          <w:color w:val="auto"/>
          <w:sz w:val="32"/>
          <w:szCs w:val="32"/>
          <w:lang w:val="en-US" w:eastAsia="zh-CN"/>
        </w:rPr>
        <w:t>开展主要股东评估</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强化股东行为管理，</w:t>
      </w:r>
      <w:r>
        <w:rPr>
          <w:rFonts w:hint="default" w:ascii="Times New Roman" w:hAnsi="Times New Roman" w:eastAsia="仿宋_GB2312" w:cs="Times New Roman"/>
          <w:b w:val="0"/>
          <w:bCs w:val="0"/>
          <w:color w:val="auto"/>
          <w:sz w:val="32"/>
          <w:szCs w:val="32"/>
          <w:lang w:val="en-US" w:eastAsia="zh-CN" w:bidi="zh-CN"/>
        </w:rPr>
        <w:t>保障利益相关者合法权益</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四是</w:t>
      </w:r>
      <w:r>
        <w:rPr>
          <w:rFonts w:hint="default" w:ascii="Times New Roman" w:hAnsi="Times New Roman" w:eastAsia="仿宋_GB2312" w:cs="Times New Roman"/>
          <w:b w:val="0"/>
          <w:bCs w:val="0"/>
          <w:color w:val="auto"/>
          <w:sz w:val="32"/>
          <w:szCs w:val="32"/>
          <w:lang w:val="en-US" w:eastAsia="zh-CN"/>
        </w:rPr>
        <w:t>科学制定资本规划，推动资本规划、年度预算及业务发展战略有效衔接，促进资本配置效率提升，将资本成本作为重要因素纳入分行考核体系，引导全行向轻资本业务转型；</w:t>
      </w:r>
      <w:r>
        <w:rPr>
          <w:rFonts w:hint="default" w:ascii="Times New Roman" w:hAnsi="Times New Roman" w:eastAsia="仿宋_GB2312" w:cs="Times New Roman"/>
          <w:b/>
          <w:bCs/>
          <w:color w:val="auto"/>
          <w:sz w:val="32"/>
          <w:szCs w:val="32"/>
          <w:lang w:val="en-US" w:eastAsia="zh-CN"/>
        </w:rPr>
        <w:t>五是</w:t>
      </w:r>
      <w:r>
        <w:rPr>
          <w:rFonts w:hint="default" w:ascii="Times New Roman" w:hAnsi="Times New Roman" w:eastAsia="仿宋_GB2312" w:cs="Times New Roman"/>
          <w:b w:val="0"/>
          <w:bCs w:val="0"/>
          <w:color w:val="auto"/>
          <w:sz w:val="32"/>
          <w:szCs w:val="32"/>
          <w:lang w:val="en-US" w:eastAsia="zh-CN"/>
        </w:rPr>
        <w:t>坚守底线思维，落实审慎风险偏好，强化风险限额管理，完善全面风险管理制度建设，强化风险联动防控机制，强化重点领域风险防控工作，推动</w:t>
      </w:r>
      <w:r>
        <w:rPr>
          <w:rFonts w:hint="default" w:ascii="Times New Roman" w:hAnsi="Times New Roman" w:eastAsia="仿宋_GB2312" w:cs="Times New Roman"/>
          <w:color w:val="000000"/>
          <w:sz w:val="32"/>
          <w:szCs w:val="32"/>
          <w:lang w:val="en-US" w:eastAsia="zh-CN"/>
        </w:rPr>
        <w:t>全面风险管理水平不断提升；</w:t>
      </w:r>
      <w:r>
        <w:rPr>
          <w:rFonts w:hint="default" w:ascii="Times New Roman" w:hAnsi="Times New Roman" w:eastAsia="仿宋_GB2312" w:cs="Times New Roman"/>
          <w:b/>
          <w:bCs/>
          <w:color w:val="auto"/>
          <w:sz w:val="32"/>
          <w:szCs w:val="32"/>
          <w:lang w:val="en-US" w:eastAsia="zh-CN"/>
        </w:rPr>
        <w:t>六是</w:t>
      </w:r>
      <w:r>
        <w:rPr>
          <w:rFonts w:hint="default" w:ascii="Times New Roman" w:hAnsi="Times New Roman" w:eastAsia="仿宋_GB2312" w:cs="Times New Roman"/>
          <w:b w:val="0"/>
          <w:bCs w:val="0"/>
          <w:color w:val="auto"/>
          <w:sz w:val="32"/>
          <w:szCs w:val="32"/>
          <w:lang w:val="en-US" w:eastAsia="zh-CN"/>
        </w:rPr>
        <w:t>践行金融为民初心使命，</w:t>
      </w:r>
      <w:r>
        <w:rPr>
          <w:rFonts w:hint="default" w:ascii="Times New Roman" w:hAnsi="Times New Roman" w:eastAsia="仿宋_GB2312" w:cs="Times New Roman"/>
          <w:color w:val="auto"/>
          <w:kern w:val="0"/>
          <w:sz w:val="32"/>
          <w:szCs w:val="32"/>
          <w:highlight w:val="none"/>
          <w:u w:val="none"/>
          <w:lang w:val="en-US" w:eastAsia="zh-CN" w:bidi="ar-SA"/>
        </w:rPr>
        <w:t>一</w:t>
      </w:r>
      <w:r>
        <w:rPr>
          <w:rFonts w:hint="default" w:ascii="Times New Roman" w:hAnsi="Times New Roman" w:eastAsia="仿宋_GB2312" w:cs="Times New Roman"/>
          <w:color w:val="auto"/>
          <w:kern w:val="0"/>
          <w:sz w:val="32"/>
          <w:szCs w:val="32"/>
          <w:highlight w:val="none"/>
          <w:lang w:val="en-US" w:eastAsia="zh-CN" w:bidi="ar-SA"/>
        </w:rPr>
        <w:t>以贯之落实各项稳经济金融政策措施，加大一般贷款投放，</w:t>
      </w:r>
      <w:r>
        <w:rPr>
          <w:rFonts w:hint="default" w:ascii="Times New Roman" w:hAnsi="Times New Roman" w:eastAsia="仿宋_GB2312" w:cs="Times New Roman"/>
          <w:snapToGrid w:val="0"/>
          <w:color w:val="000000"/>
          <w:kern w:val="0"/>
          <w:sz w:val="32"/>
          <w:szCs w:val="32"/>
          <w:lang w:val="en-US" w:eastAsia="zh-CN"/>
        </w:rPr>
        <w:t>持续让利实体企业，</w:t>
      </w:r>
      <w:r>
        <w:rPr>
          <w:rFonts w:hint="default" w:ascii="Times New Roman" w:hAnsi="Times New Roman" w:eastAsia="仿宋_GB2312" w:cs="Times New Roman"/>
          <w:color w:val="auto"/>
          <w:kern w:val="0"/>
          <w:sz w:val="32"/>
          <w:szCs w:val="32"/>
          <w:highlight w:val="none"/>
          <w:u w:val="none"/>
          <w:lang w:val="en-US" w:eastAsia="zh-CN" w:bidi="ar-SA"/>
        </w:rPr>
        <w:t>为全省实体经济发展作出山银贡献。</w:t>
      </w:r>
      <w:r>
        <w:rPr>
          <w:rFonts w:hint="default" w:ascii="Times New Roman" w:hAnsi="Times New Roman" w:eastAsia="仿宋_GB2312" w:cs="Times New Roman"/>
          <w:b w:val="0"/>
          <w:bCs w:val="0"/>
          <w:kern w:val="2"/>
          <w:sz w:val="32"/>
          <w:szCs w:val="32"/>
          <w:lang w:val="en-US" w:eastAsia="zh-CN" w:bidi="ar-SA"/>
        </w:rPr>
        <w:t>强化运营、零售、消保协同管理，加强网点服务标准化建设，提升网点服务管理水平，优化提升客户体验，打造特色服务品牌。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eastAsia" w:ascii="Times New Roman" w:hAnsi="Times New Roman" w:eastAsia="黑体" w:cs="Times New Roman"/>
          <w:lang w:val="en-US" w:eastAsia="zh-CN"/>
        </w:rPr>
        <w:t>五</w:t>
      </w:r>
      <w:r>
        <w:rPr>
          <w:rFonts w:hint="default" w:ascii="Times New Roman" w:hAnsi="Times New Roman" w:eastAsia="黑体" w:cs="Times New Roman"/>
          <w:lang w:val="en-US" w:eastAsia="zh-CN"/>
        </w:rPr>
        <w:t>、重大事件</w:t>
      </w:r>
    </w:p>
    <w:p>
      <w:pPr>
        <w:pStyle w:val="4"/>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（一）重大经营决策</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报告期内，本行共召开</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val="en-US" w:eastAsia="zh-CN"/>
        </w:rPr>
        <w:t>次董事会，审议</w:t>
      </w:r>
      <w:r>
        <w:rPr>
          <w:rFonts w:hint="default" w:ascii="Times New Roman" w:hAnsi="Times New Roman" w:cs="Times New Roman"/>
          <w:sz w:val="32"/>
          <w:szCs w:val="32"/>
          <w:lang w:val="en-US" w:eastAsia="zh-CN"/>
        </w:rPr>
        <w:t>57</w:t>
      </w:r>
      <w:r>
        <w:rPr>
          <w:rFonts w:hint="default" w:ascii="Times New Roman" w:hAnsi="Times New Roman" w:eastAsia="仿宋_GB2312" w:cs="Times New Roman"/>
          <w:sz w:val="32"/>
          <w:szCs w:val="32"/>
          <w:lang w:val="en-US" w:eastAsia="zh-CN"/>
        </w:rPr>
        <w:t>项议案，听取</w:t>
      </w:r>
      <w:r>
        <w:rPr>
          <w:rFonts w:hint="default" w:ascii="Times New Roman" w:hAnsi="Times New Roman" w:cs="Times New Roman"/>
          <w:sz w:val="32"/>
          <w:szCs w:val="32"/>
          <w:lang w:val="en-US" w:eastAsia="zh-CN"/>
        </w:rPr>
        <w:t>26</w:t>
      </w:r>
      <w:r>
        <w:rPr>
          <w:rFonts w:hint="default" w:ascii="Times New Roman" w:hAnsi="Times New Roman" w:eastAsia="仿宋_GB2312" w:cs="Times New Roman"/>
          <w:sz w:val="32"/>
          <w:szCs w:val="32"/>
          <w:lang w:val="en-US" w:eastAsia="zh-CN"/>
        </w:rPr>
        <w:t>项报告，内容涉及</w:t>
      </w:r>
      <w:r>
        <w:rPr>
          <w:rFonts w:hint="default" w:ascii="Times New Roman" w:hAnsi="Times New Roman" w:eastAsia="仿宋_GB2312" w:cs="Times New Roman"/>
          <w:sz w:val="32"/>
          <w:szCs w:val="32"/>
        </w:rPr>
        <w:t>战略评估、授权方案、风险处置、经营计划、财务预算、利润分配、董事会委员会调整及议事规则修订</w:t>
      </w:r>
      <w:r>
        <w:rPr>
          <w:rFonts w:hint="default" w:ascii="Times New Roman" w:hAnsi="Times New Roman" w:eastAsia="仿宋_GB2312" w:cs="Times New Roman"/>
          <w:sz w:val="32"/>
          <w:szCs w:val="32"/>
          <w:lang w:val="en-US" w:eastAsia="zh-CN"/>
        </w:rPr>
        <w:t>等。</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（二）重要人事任免</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报告期内，金海腾先生独立董事任职资格于2023年9月27日获得国家金融监督管理总局山西监管局核准。2023年10月7日，本行聘任金海腾先生为本行独立董事。</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报告期内，</w:t>
      </w:r>
      <w:r>
        <w:rPr>
          <w:rFonts w:hint="default" w:ascii="Times New Roman" w:hAnsi="Times New Roman" w:eastAsia="仿宋_GB2312" w:cs="Times New Roman"/>
          <w:sz w:val="32"/>
          <w:szCs w:val="32"/>
          <w:lang w:val="en-US" w:eastAsia="zh-CN"/>
        </w:rPr>
        <w:t>根据《山西省人民政府关于张新伟等8人任免职务的通知》（晋政任〔2023〕38号），姚庆民先生不再担任山西银行第一届监事会监事长。</w:t>
      </w:r>
    </w:p>
    <w:p>
      <w:pPr>
        <w:pStyle w:val="5"/>
        <w:keepNext w:val="0"/>
        <w:keepLines w:val="0"/>
        <w:pageBreakBefore w:val="0"/>
        <w:widowControl w:val="0"/>
        <w:numPr>
          <w:ilvl w:val="0"/>
          <w:numId w:val="0"/>
        </w:numPr>
        <w:kinsoku/>
        <w:wordWrap/>
        <w:overflowPunct/>
        <w:topLinePunct w:val="0"/>
        <w:bidi w:val="0"/>
        <w:snapToGrid/>
        <w:spacing w:after="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（三）重大产权变动</w:t>
      </w:r>
    </w:p>
    <w:p>
      <w:pPr>
        <w:keepNext w:val="0"/>
        <w:keepLines w:val="0"/>
        <w:pageBreakBefore w:val="0"/>
        <w:widowControl w:val="0"/>
        <w:kinsoku/>
        <w:wordWrap/>
        <w:overflowPunct/>
        <w:topLinePunct w:val="0"/>
        <w:bidi w:val="0"/>
        <w:snapToGrid/>
        <w:spacing w:line="560" w:lineRule="exact"/>
        <w:ind w:firstLine="640" w:firstLineChars="200"/>
        <w:textAlignment w:val="auto"/>
        <w:outlineLvl w:val="1"/>
        <w:rPr>
          <w:rFonts w:hint="default" w:ascii="Times New Roman" w:hAnsi="Times New Roman" w:cs="Times New Roman"/>
          <w:bCs/>
          <w:color w:val="000000" w:themeColor="text1"/>
          <w:sz w:val="32"/>
          <w:szCs w:val="32"/>
          <w:lang w:val="en-US" w:eastAsia="zh-CN"/>
          <w14:textFill>
            <w14:solidFill>
              <w14:schemeClr w14:val="tx1"/>
            </w14:solidFill>
          </w14:textFill>
        </w:rPr>
      </w:pPr>
      <w:r>
        <w:rPr>
          <w:rFonts w:hint="default" w:ascii="Times New Roman" w:hAnsi="Times New Roman" w:cs="Times New Roman"/>
          <w:bCs/>
          <w:color w:val="000000" w:themeColor="text1"/>
          <w:sz w:val="32"/>
          <w:szCs w:val="32"/>
          <w:lang w:val="en-US" w:eastAsia="zh-CN"/>
          <w14:textFill>
            <w14:solidFill>
              <w14:schemeClr w14:val="tx1"/>
            </w14:solidFill>
          </w14:textFill>
        </w:rPr>
        <w:t>报告期内，</w:t>
      </w:r>
      <w:r>
        <w:rPr>
          <w:rFonts w:hint="default" w:ascii="Times New Roman" w:hAnsi="Times New Roman" w:eastAsia="仿宋_GB2312" w:cs="Times New Roman"/>
          <w:color w:val="auto"/>
          <w:kern w:val="2"/>
          <w:sz w:val="32"/>
          <w:szCs w:val="32"/>
          <w:highlight w:val="none"/>
          <w:lang w:val="en-US" w:eastAsia="zh-CN" w:bidi="ar-SA"/>
        </w:rPr>
        <w:t>本行注册资本由23,996,294,054元变更为25,894,187,392元。</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（四）重大改制改组情况</w:t>
      </w:r>
    </w:p>
    <w:p>
      <w:pPr>
        <w:pStyle w:val="4"/>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报告期内，本行未发生重大改制改组。</w:t>
      </w:r>
    </w:p>
    <w:p>
      <w:pPr>
        <w:pStyle w:val="5"/>
        <w:keepNext w:val="0"/>
        <w:keepLines w:val="0"/>
        <w:pageBreakBefore w:val="0"/>
        <w:widowControl w:val="0"/>
        <w:kinsoku/>
        <w:wordWrap/>
        <w:overflowPunct/>
        <w:topLinePunct w:val="0"/>
        <w:bidi w:val="0"/>
        <w:snapToGrid/>
        <w:spacing w:after="0"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（五）重大突发事件、热点事件</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报告期内，本行未发生</w:t>
      </w:r>
      <w:r>
        <w:rPr>
          <w:rFonts w:hint="default" w:ascii="Times New Roman" w:hAnsi="Times New Roman" w:eastAsia="仿宋_GB2312" w:cs="Times New Roman"/>
          <w:sz w:val="32"/>
          <w:szCs w:val="32"/>
          <w:lang w:val="en-US" w:eastAsia="zh-CN"/>
        </w:rPr>
        <w:t>重大突发事件、热点事件</w:t>
      </w:r>
      <w:r>
        <w:rPr>
          <w:rFonts w:hint="default" w:ascii="Times New Roman" w:hAnsi="Times New Roman" w:cs="Times New Roman"/>
          <w:sz w:val="32"/>
          <w:szCs w:val="32"/>
          <w:lang w:val="en-US" w:eastAsia="zh-CN"/>
        </w:rPr>
        <w:t>。</w:t>
      </w:r>
    </w:p>
    <w:p>
      <w:pPr>
        <w:pStyle w:val="4"/>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（六）重大不良资产处置、核销</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报告期内，本行向资产管理公司转让不良金融资产17.2亿元，本行呆账核销1.03亿元。</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（七）重大未决诉讼</w:t>
      </w:r>
    </w:p>
    <w:p>
      <w:pPr>
        <w:pStyle w:val="6"/>
        <w:keepNext w:val="0"/>
        <w:keepLines w:val="0"/>
        <w:pageBreakBefore w:val="0"/>
        <w:widowControl w:val="0"/>
        <w:kinsoku/>
        <w:wordWrap/>
        <w:overflowPunct/>
        <w:topLinePunct w:val="0"/>
        <w:bidi w:val="0"/>
        <w:snapToGrid/>
        <w:spacing w:after="0" w:line="560"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sz w:val="32"/>
          <w:szCs w:val="32"/>
          <w:lang w:val="en-US" w:eastAsia="zh-CN"/>
        </w:rPr>
        <w:t>报告期内，</w:t>
      </w:r>
      <w:r>
        <w:rPr>
          <w:rFonts w:hint="default" w:ascii="Times New Roman" w:hAnsi="Times New Roman" w:eastAsia="仿宋_GB2312" w:cs="Times New Roman"/>
          <w:kern w:val="2"/>
          <w:sz w:val="32"/>
          <w:szCs w:val="32"/>
          <w:lang w:val="en-US" w:eastAsia="zh-CN" w:bidi="ar-SA"/>
        </w:rPr>
        <w:t>本行无重大未决诉讼。</w:t>
      </w:r>
    </w:p>
    <w:p>
      <w:pPr>
        <w:pStyle w:val="5"/>
        <w:keepNext w:val="0"/>
        <w:keepLines w:val="0"/>
        <w:pageBreakBefore w:val="0"/>
        <w:widowControl w:val="0"/>
        <w:kinsoku/>
        <w:wordWrap/>
        <w:overflowPunct/>
        <w:topLinePunct w:val="0"/>
        <w:bidi w:val="0"/>
        <w:snapToGrid/>
        <w:spacing w:after="0"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（八）利润分配</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截至报告期末，未进行利润分配。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FF0000"/>
          <w:kern w:val="2"/>
          <w:sz w:val="32"/>
          <w:szCs w:val="32"/>
          <w:lang w:val="en-US" w:eastAsia="zh-CN" w:bidi="ar-SA"/>
        </w:rPr>
      </w:pPr>
      <w:r>
        <w:rPr>
          <w:rFonts w:hint="eastAsia" w:ascii="Times New Roman" w:hAnsi="Times New Roman" w:eastAsia="黑体" w:cs="Times New Roman"/>
          <w:lang w:val="en-US" w:eastAsia="zh-CN"/>
        </w:rPr>
        <w:t>六</w:t>
      </w:r>
      <w:r>
        <w:rPr>
          <w:rFonts w:hint="default" w:ascii="Times New Roman" w:hAnsi="Times New Roman" w:eastAsia="黑体" w:cs="Times New Roman"/>
          <w:lang w:val="en-US" w:eastAsia="zh-CN"/>
        </w:rPr>
        <w:t>、财务预算执行情况（母公司）</w:t>
      </w:r>
    </w:p>
    <w:p>
      <w:pPr>
        <w:pStyle w:val="23"/>
        <w:jc w:val="center"/>
        <w:rPr>
          <w:rFonts w:hint="default" w:ascii="Times New Roman" w:hAnsi="Times New Roman" w:cs="Times New Roman"/>
          <w:lang w:val="en-US" w:eastAsia="zh-CN"/>
        </w:rPr>
      </w:pPr>
      <w:r>
        <w:rPr>
          <w:rFonts w:hint="default" w:ascii="Times New Roman" w:hAnsi="Times New Roman" w:eastAsia="宋体" w:cs="Times New Roman"/>
          <w:i w:val="0"/>
          <w:color w:val="000000"/>
          <w:kern w:val="0"/>
          <w:sz w:val="24"/>
          <w:szCs w:val="24"/>
          <w:u w:val="none"/>
          <w:lang w:val="en-US" w:eastAsia="zh-CN" w:bidi="ar"/>
        </w:rPr>
        <w:t xml:space="preserve">                                                      单位：亿元</w:t>
      </w:r>
    </w:p>
    <w:tbl>
      <w:tblPr>
        <w:tblStyle w:val="13"/>
        <w:tblW w:w="79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418"/>
        <w:gridCol w:w="1811"/>
        <w:gridCol w:w="1810"/>
        <w:gridCol w:w="1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79" w:hRule="atLeast"/>
          <w:jc w:val="center"/>
        </w:trPr>
        <w:tc>
          <w:tcPr>
            <w:tcW w:w="2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项目</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年度预算</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完成金额</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预算完成情况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66" w:hRule="atLeast"/>
          <w:jc w:val="center"/>
        </w:trPr>
        <w:tc>
          <w:tcPr>
            <w:tcW w:w="2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营业收入</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36.50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31.49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86.27%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9" w:hRule="atLeast"/>
          <w:jc w:val="center"/>
        </w:trPr>
        <w:tc>
          <w:tcPr>
            <w:tcW w:w="2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4"/>
                <w:szCs w:val="24"/>
                <w:u w:val="none"/>
              </w:rPr>
            </w:pPr>
            <w:r>
              <w:rPr>
                <w:rFonts w:hint="default" w:ascii="Times New Roman" w:hAnsi="Times New Roman" w:eastAsia="宋体" w:cs="Times New Roman"/>
                <w:b/>
                <w:bCs/>
                <w:i w:val="0"/>
                <w:color w:val="000000"/>
                <w:kern w:val="0"/>
                <w:sz w:val="24"/>
                <w:szCs w:val="24"/>
                <w:u w:val="none"/>
                <w:lang w:val="en-US" w:eastAsia="zh-CN" w:bidi="ar"/>
              </w:rPr>
              <w:t>利润总额</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8.30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8.31</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sz w:val="24"/>
                <w:szCs w:val="24"/>
                <w:u w:val="none"/>
                <w:lang w:val="en-US" w:eastAsia="zh-CN"/>
              </w:rPr>
              <w:t>100.12%</w:t>
            </w:r>
          </w:p>
        </w:tc>
      </w:tr>
    </w:tbl>
    <w:p>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七、履行社会责任情况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（一）经济责任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cs="Times New Roman"/>
          <w:sz w:val="32"/>
          <w:lang w:val="en-US" w:bidi="zh-CN"/>
        </w:rPr>
        <w:t>本行坚守</w:t>
      </w:r>
      <w:r>
        <w:rPr>
          <w:rFonts w:hint="default" w:ascii="Times New Roman" w:hAnsi="Times New Roman" w:eastAsia="仿宋_GB2312" w:cs="Times New Roman"/>
          <w:sz w:val="32"/>
          <w:szCs w:val="32"/>
          <w:lang w:val="en-GB" w:bidi="zh-CN"/>
        </w:rPr>
        <w:t>“服务地方经济、服务中小企业、服务城乡居民”的市场定位</w:t>
      </w:r>
      <w:r>
        <w:rPr>
          <w:rFonts w:hint="default" w:ascii="Times New Roman" w:hAnsi="Times New Roman" w:eastAsia="仿宋_GB2312" w:cs="Times New Roman"/>
          <w:sz w:val="32"/>
          <w:szCs w:val="32"/>
          <w:lang w:bidi="zh-CN"/>
        </w:rPr>
        <w:t>，</w:t>
      </w:r>
      <w:r>
        <w:rPr>
          <w:rFonts w:hint="default" w:ascii="Times New Roman" w:hAnsi="Times New Roman" w:eastAsia="仿宋_GB2312" w:cs="Times New Roman"/>
          <w:color w:val="auto"/>
          <w:kern w:val="0"/>
          <w:sz w:val="32"/>
          <w:szCs w:val="32"/>
          <w:highlight w:val="none"/>
          <w:lang w:val="en-US" w:eastAsia="zh-CN" w:bidi="ar-SA"/>
        </w:rPr>
        <w:t>紧密围绕全省发展战略，紧跟区域发展步伐，一以贯之落实各项稳经济金融政策措施，加大一般贷款投放，</w:t>
      </w:r>
      <w:r>
        <w:rPr>
          <w:rFonts w:hint="default" w:ascii="Times New Roman" w:hAnsi="Times New Roman" w:eastAsia="仿宋_GB2312" w:cs="Times New Roman"/>
          <w:snapToGrid w:val="0"/>
          <w:color w:val="000000"/>
          <w:kern w:val="0"/>
          <w:sz w:val="32"/>
          <w:szCs w:val="32"/>
          <w:lang w:val="en-US" w:eastAsia="zh-CN"/>
        </w:rPr>
        <w:t>持续让利实体企业，</w:t>
      </w:r>
      <w:r>
        <w:rPr>
          <w:rFonts w:hint="default" w:ascii="Times New Roman" w:hAnsi="Times New Roman" w:eastAsia="仿宋_GB2312" w:cs="Times New Roman"/>
          <w:color w:val="auto"/>
          <w:kern w:val="0"/>
          <w:sz w:val="32"/>
          <w:szCs w:val="32"/>
          <w:highlight w:val="none"/>
          <w:lang w:val="en-US" w:eastAsia="zh-CN" w:bidi="ar-SA"/>
        </w:rPr>
        <w:t>为全省高质量发展提供有力金融支撑。2023年，全行一般贷款累计投放778.53亿元，贷款利率平均4.82%，较</w:t>
      </w:r>
      <w:r>
        <w:rPr>
          <w:rFonts w:hint="default" w:ascii="Times New Roman" w:hAnsi="Times New Roman" w:cs="Times New Roman"/>
          <w:color w:val="auto"/>
          <w:kern w:val="0"/>
          <w:sz w:val="32"/>
          <w:szCs w:val="32"/>
          <w:highlight w:val="none"/>
          <w:lang w:val="en-US" w:eastAsia="zh-CN" w:bidi="ar-SA"/>
        </w:rPr>
        <w:t>上</w:t>
      </w:r>
      <w:r>
        <w:rPr>
          <w:rFonts w:hint="default" w:ascii="Times New Roman" w:hAnsi="Times New Roman" w:eastAsia="仿宋_GB2312" w:cs="Times New Roman"/>
          <w:color w:val="auto"/>
          <w:kern w:val="0"/>
          <w:sz w:val="32"/>
          <w:szCs w:val="32"/>
          <w:highlight w:val="none"/>
          <w:lang w:val="en-US" w:eastAsia="zh-CN" w:bidi="ar-SA"/>
        </w:rPr>
        <w:t>年同期下降36BP。</w:t>
      </w:r>
      <w:r>
        <w:rPr>
          <w:rFonts w:hint="default" w:ascii="Times New Roman" w:hAnsi="Times New Roman" w:cs="Times New Roman"/>
          <w:b/>
          <w:bCs/>
          <w:color w:val="auto"/>
          <w:kern w:val="0"/>
          <w:sz w:val="32"/>
          <w:szCs w:val="32"/>
          <w:highlight w:val="none"/>
          <w:lang w:val="en-US" w:eastAsia="zh-CN" w:bidi="ar-SA"/>
        </w:rPr>
        <w:t>一是</w:t>
      </w:r>
      <w:r>
        <w:rPr>
          <w:rFonts w:hint="default" w:ascii="Times New Roman" w:hAnsi="Times New Roman" w:eastAsia="仿宋_GB2312" w:cs="Times New Roman"/>
          <w:color w:val="auto"/>
          <w:sz w:val="32"/>
          <w:szCs w:val="32"/>
          <w:highlight w:val="none"/>
          <w:lang w:val="en-US" w:eastAsia="zh-CN"/>
        </w:rPr>
        <w:t>强化项目对接，推动重点项目建设实施，开展清单式对接、跟进式服务，向12个省属重点工程项目授信89.04亿元</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二是</w:t>
      </w:r>
      <w:r>
        <w:rPr>
          <w:rFonts w:hint="default" w:ascii="Times New Roman" w:hAnsi="Times New Roman" w:eastAsia="仿宋_GB2312" w:cs="Times New Roman"/>
          <w:color w:val="auto"/>
          <w:sz w:val="32"/>
          <w:szCs w:val="32"/>
          <w:highlight w:val="none"/>
          <w:lang w:val="en-US" w:eastAsia="zh-CN"/>
        </w:rPr>
        <w:t>探索推广供应链金融支持全省强链补链，累计支持产业链重点企业余额46.27亿元，涉及客户25户，其中链主企业3户</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三是</w:t>
      </w:r>
      <w:r>
        <w:rPr>
          <w:rFonts w:hint="default" w:ascii="Times New Roman" w:hAnsi="Times New Roman" w:eastAsia="仿宋_GB2312" w:cs="Times New Roman"/>
          <w:color w:val="auto"/>
          <w:sz w:val="32"/>
          <w:szCs w:val="32"/>
          <w:highlight w:val="none"/>
          <w:lang w:val="en-US" w:eastAsia="zh-CN"/>
        </w:rPr>
        <w:t>一镇一策助力全省专业镇建设，率先完成定襄法兰专业镇供应链融资服务方案，助力专业镇做精做强主导产业</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四是</w:t>
      </w:r>
      <w:r>
        <w:rPr>
          <w:rFonts w:hint="default" w:ascii="Times New Roman" w:hAnsi="Times New Roman" w:eastAsia="仿宋_GB2312" w:cs="Times New Roman"/>
          <w:color w:val="auto"/>
          <w:sz w:val="32"/>
          <w:szCs w:val="32"/>
          <w:highlight w:val="none"/>
          <w:lang w:val="en-US" w:eastAsia="zh-CN"/>
        </w:rPr>
        <w:t>建立战略客户白名单，主动跟踪对接、前置尽调授信、开通绿色通道、强化综合服务，累计为103户省市重点企业授信540.12亿元</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五是</w:t>
      </w:r>
      <w:r>
        <w:rPr>
          <w:rFonts w:hint="default" w:ascii="Times New Roman" w:hAnsi="Times New Roman" w:eastAsia="仿宋_GB2312" w:cs="Times New Roman"/>
          <w:color w:val="auto"/>
          <w:kern w:val="0"/>
          <w:sz w:val="32"/>
          <w:szCs w:val="32"/>
          <w:highlight w:val="none"/>
          <w:lang w:val="en-US" w:eastAsia="zh-CN" w:bidi="ar-SA"/>
        </w:rPr>
        <w:t>以转型项目为抓手拓展绿色金融，绿色金融信贷余额55.55亿元，较年初新增22.45亿元，增幅67.82%。</w:t>
      </w:r>
      <w:r>
        <w:rPr>
          <w:rFonts w:hint="default" w:ascii="Times New Roman" w:hAnsi="Times New Roman" w:cs="Times New Roman"/>
          <w:b/>
          <w:bCs/>
          <w:color w:val="auto"/>
          <w:kern w:val="0"/>
          <w:sz w:val="32"/>
          <w:szCs w:val="32"/>
          <w:highlight w:val="none"/>
          <w:lang w:val="en-US" w:eastAsia="zh-CN" w:bidi="ar-SA"/>
        </w:rPr>
        <w:t>六是</w:t>
      </w:r>
      <w:r>
        <w:rPr>
          <w:rFonts w:hint="default" w:ascii="Times New Roman" w:hAnsi="Times New Roman" w:eastAsia="仿宋_GB2312" w:cs="Times New Roman"/>
          <w:i w:val="0"/>
          <w:caps w:val="0"/>
          <w:color w:val="auto"/>
          <w:spacing w:val="0"/>
          <w:sz w:val="32"/>
          <w:szCs w:val="32"/>
          <w:highlight w:val="none"/>
          <w:lang w:val="en-US" w:eastAsia="zh-CN"/>
        </w:rPr>
        <w:t>聚焦中小微企业经营痛点，打造一站式人财事数字化服务平台—晋薪易</w:t>
      </w:r>
      <w:r>
        <w:rPr>
          <w:rFonts w:hint="default" w:ascii="Times New Roman" w:hAnsi="Times New Roman" w:cs="Times New Roman"/>
          <w:i w:val="0"/>
          <w:caps w:val="0"/>
          <w:color w:val="auto"/>
          <w:spacing w:val="0"/>
          <w:sz w:val="32"/>
          <w:szCs w:val="32"/>
          <w:highlight w:val="none"/>
          <w:lang w:val="en-US" w:eastAsia="zh-CN"/>
        </w:rPr>
        <w:t>，</w:t>
      </w:r>
      <w:r>
        <w:rPr>
          <w:rFonts w:hint="default" w:ascii="Times New Roman" w:hAnsi="Times New Roman" w:eastAsia="仿宋_GB2312" w:cs="Times New Roman"/>
          <w:i w:val="0"/>
          <w:caps w:val="0"/>
          <w:color w:val="auto"/>
          <w:spacing w:val="0"/>
          <w:sz w:val="32"/>
          <w:szCs w:val="32"/>
          <w:highlight w:val="none"/>
        </w:rPr>
        <w:t>持续构建条块管理+专业机构的小微业务组织管理体系，稳步压降小微企业融资成本，</w:t>
      </w:r>
      <w:r>
        <w:rPr>
          <w:rFonts w:hint="default" w:ascii="Times New Roman" w:hAnsi="Times New Roman" w:cs="Times New Roman"/>
          <w:i w:val="0"/>
          <w:caps w:val="0"/>
          <w:color w:val="auto"/>
          <w:spacing w:val="0"/>
          <w:sz w:val="32"/>
          <w:szCs w:val="32"/>
          <w:highlight w:val="none"/>
          <w:lang w:val="en-US" w:eastAsia="zh-CN"/>
        </w:rPr>
        <w:t>报告期内</w:t>
      </w:r>
      <w:r>
        <w:rPr>
          <w:rFonts w:hint="default" w:ascii="Times New Roman" w:hAnsi="Times New Roman" w:eastAsia="仿宋_GB2312" w:cs="Times New Roman"/>
          <w:i w:val="0"/>
          <w:caps w:val="0"/>
          <w:color w:val="auto"/>
          <w:spacing w:val="0"/>
          <w:sz w:val="32"/>
          <w:szCs w:val="32"/>
          <w:highlight w:val="none"/>
        </w:rPr>
        <w:t>新发放</w:t>
      </w:r>
      <w:r>
        <w:rPr>
          <w:rFonts w:hint="default" w:ascii="Times New Roman" w:hAnsi="Times New Roman" w:eastAsia="仿宋_GB2312" w:cs="Times New Roman"/>
          <w:i w:val="0"/>
          <w:caps w:val="0"/>
          <w:color w:val="auto"/>
          <w:spacing w:val="0"/>
          <w:sz w:val="32"/>
          <w:szCs w:val="32"/>
          <w:highlight w:val="none"/>
          <w:lang w:val="en-US" w:eastAsia="zh-CN"/>
        </w:rPr>
        <w:t>普惠型</w:t>
      </w:r>
      <w:r>
        <w:rPr>
          <w:rFonts w:hint="default" w:ascii="Times New Roman" w:hAnsi="Times New Roman" w:eastAsia="仿宋_GB2312" w:cs="Times New Roman"/>
          <w:i w:val="0"/>
          <w:caps w:val="0"/>
          <w:color w:val="auto"/>
          <w:spacing w:val="0"/>
          <w:sz w:val="32"/>
          <w:szCs w:val="32"/>
          <w:highlight w:val="none"/>
        </w:rPr>
        <w:t>小微</w:t>
      </w:r>
      <w:r>
        <w:rPr>
          <w:rFonts w:hint="default" w:ascii="Times New Roman" w:hAnsi="Times New Roman" w:eastAsia="仿宋_GB2312" w:cs="Times New Roman"/>
          <w:i w:val="0"/>
          <w:caps w:val="0"/>
          <w:color w:val="auto"/>
          <w:spacing w:val="0"/>
          <w:sz w:val="32"/>
          <w:szCs w:val="32"/>
          <w:highlight w:val="none"/>
          <w:lang w:val="en-US" w:eastAsia="zh-CN"/>
        </w:rPr>
        <w:t>企业</w:t>
      </w:r>
      <w:r>
        <w:rPr>
          <w:rFonts w:hint="default" w:ascii="Times New Roman" w:hAnsi="Times New Roman" w:eastAsia="仿宋_GB2312" w:cs="Times New Roman"/>
          <w:i w:val="0"/>
          <w:caps w:val="0"/>
          <w:color w:val="auto"/>
          <w:spacing w:val="0"/>
          <w:sz w:val="32"/>
          <w:szCs w:val="32"/>
          <w:highlight w:val="none"/>
        </w:rPr>
        <w:t>贷款利率</w:t>
      </w:r>
      <w:r>
        <w:rPr>
          <w:rFonts w:hint="default" w:ascii="Times New Roman" w:hAnsi="Times New Roman" w:eastAsia="仿宋_GB2312" w:cs="Times New Roman"/>
          <w:i w:val="0"/>
          <w:caps w:val="0"/>
          <w:color w:val="auto"/>
          <w:spacing w:val="0"/>
          <w:sz w:val="32"/>
          <w:szCs w:val="32"/>
          <w:highlight w:val="none"/>
          <w:lang w:val="en-US" w:eastAsia="zh-CN"/>
        </w:rPr>
        <w:t>5.51%，</w:t>
      </w:r>
      <w:r>
        <w:rPr>
          <w:rFonts w:hint="default" w:ascii="Times New Roman" w:hAnsi="Times New Roman" w:eastAsia="仿宋_GB2312" w:cs="Times New Roman"/>
          <w:i w:val="0"/>
          <w:caps w:val="0"/>
          <w:color w:val="auto"/>
          <w:spacing w:val="0"/>
          <w:sz w:val="32"/>
          <w:szCs w:val="32"/>
          <w:highlight w:val="none"/>
        </w:rPr>
        <w:t>较上年下降0.14个百分点。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（二）安全责任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shd w:val="clear" w:color="auto" w:fill="FFFFFF"/>
          <w:lang w:val="en-US" w:eastAsia="zh-CN"/>
        </w:rPr>
        <w:t>本行始终坚持党政同责、一岗双责、齐抓共管、失职追责和“三管三必须”工作要求，紧绷安全生产弦，一手抓改革发展、一手抓安全生产，两手抓、两手硬，稳住了安全生产基本盘，为全行高质量发展提供了安全保障。2023年，本行以打造高效有力的支撑保障体系为总抓手，通过常态化安全防控与专项安全工作的有机结合，</w:t>
      </w:r>
      <w:r>
        <w:rPr>
          <w:rFonts w:hint="default" w:ascii="Times New Roman" w:hAnsi="Times New Roman" w:cs="Times New Roman"/>
          <w:color w:val="auto"/>
          <w:sz w:val="32"/>
          <w:szCs w:val="32"/>
          <w:shd w:val="clear" w:color="auto" w:fill="FFFFFF"/>
          <w:lang w:val="en-US" w:eastAsia="zh-CN"/>
        </w:rPr>
        <w:t>持续筑牢安全防线，严格落实安全责任制，</w:t>
      </w:r>
      <w:r>
        <w:rPr>
          <w:rFonts w:hint="default" w:ascii="Times New Roman" w:hAnsi="Times New Roman" w:eastAsia="仿宋_GB2312" w:cs="Times New Roman"/>
          <w:color w:val="auto"/>
          <w:sz w:val="32"/>
          <w:szCs w:val="32"/>
          <w:shd w:val="clear" w:color="auto" w:fill="FFFFFF"/>
          <w:lang w:val="en-US" w:eastAsia="zh-CN"/>
        </w:rPr>
        <w:t>不断夯实安全基础</w:t>
      </w:r>
      <w:r>
        <w:rPr>
          <w:rFonts w:hint="default" w:ascii="Times New Roman" w:hAnsi="Times New Roman"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保持了全行安全生产形势稳定向好</w:t>
      </w:r>
      <w:r>
        <w:rPr>
          <w:rFonts w:hint="default" w:ascii="Times New Roman" w:hAnsi="Times New Roman" w:cs="Times New Roman"/>
          <w:color w:val="auto"/>
          <w:sz w:val="32"/>
          <w:szCs w:val="32"/>
          <w:shd w:val="clear" w:color="auto" w:fill="FFFFFF"/>
          <w:lang w:val="en-US" w:eastAsia="zh-CN"/>
        </w:rPr>
        <w:t>，全行由</w:t>
      </w:r>
      <w:r>
        <w:rPr>
          <w:rFonts w:hint="default" w:ascii="Times New Roman" w:hAnsi="Times New Roman" w:eastAsia="仿宋_GB2312" w:cs="Times New Roman"/>
          <w:color w:val="auto"/>
          <w:sz w:val="32"/>
          <w:szCs w:val="32"/>
          <w:shd w:val="clear" w:color="auto" w:fill="FFFFFF"/>
          <w:lang w:val="en-US" w:eastAsia="zh-CN"/>
        </w:rPr>
        <w:t>“零事故”</w:t>
      </w:r>
      <w:r>
        <w:rPr>
          <w:rFonts w:hint="default" w:ascii="Times New Roman" w:hAnsi="Times New Roman" w:cs="Times New Roman"/>
          <w:color w:val="auto"/>
          <w:sz w:val="32"/>
          <w:szCs w:val="32"/>
          <w:shd w:val="clear" w:color="auto" w:fill="FFFFFF"/>
          <w:lang w:val="en-US" w:eastAsia="zh-CN"/>
        </w:rPr>
        <w:t>向本质安全稳步迈进。</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eastAsia="楷体_GB2312" w:cs="Times New Roman"/>
          <w:kern w:val="2"/>
          <w:sz w:val="32"/>
          <w:szCs w:val="32"/>
          <w:lang w:val="en-US" w:eastAsia="zh-CN" w:bidi="ar-SA"/>
        </w:rPr>
        <w:t>（三）创新责任</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right="0" w:rightChars="0" w:firstLine="640" w:firstLineChars="200"/>
        <w:jc w:val="both"/>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本行坚持以改革促发展、以创新求突破，深入推进数字金融创新发展，</w:t>
      </w:r>
      <w:r>
        <w:rPr>
          <w:rFonts w:hint="default" w:ascii="Times New Roman" w:hAnsi="Times New Roman" w:eastAsia="仿宋_GB2312" w:cs="Times New Roman"/>
          <w:color w:val="auto"/>
          <w:kern w:val="2"/>
          <w:sz w:val="32"/>
          <w:szCs w:val="32"/>
          <w:highlight w:val="none"/>
          <w:lang w:val="en-US" w:eastAsia="zh-CN" w:bidi="ar-SA"/>
        </w:rPr>
        <w:t>围绕《山西银行数字化转型总体规划》，以一体化中台为切入点，带动业务发展、促进组织效能优化，持续提升数字化服务能力。</w:t>
      </w:r>
      <w:r>
        <w:rPr>
          <w:rFonts w:hint="default"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color w:val="auto"/>
          <w:kern w:val="2"/>
          <w:sz w:val="32"/>
          <w:szCs w:val="32"/>
          <w:highlight w:val="none"/>
          <w:lang w:val="en-US" w:eastAsia="zh-CN" w:bidi="ar-SA"/>
        </w:rPr>
        <w:t>推动业务数字化。2023年完成辰元平台、智慧网点平台、互联网渠道平台等重要系统投产，一体化中台架构体系迭代升级，实现了信息科技、数据应用和业务模式的结合。</w:t>
      </w:r>
      <w:r>
        <w:rPr>
          <w:rFonts w:hint="default"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color w:val="auto"/>
          <w:kern w:val="2"/>
          <w:sz w:val="32"/>
          <w:szCs w:val="32"/>
          <w:highlight w:val="none"/>
          <w:lang w:val="en-US" w:eastAsia="zh-CN" w:bidi="ar-SA"/>
        </w:rPr>
        <w:t>推动管理数字化。完成绩效管理系统、管理会计系统及财务集市建设，强化经营的精细化管理，为构建以价值为导向的经营管理和绩效考核体系奠定了基础。</w:t>
      </w:r>
      <w:r>
        <w:rPr>
          <w:rFonts w:hint="default"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color w:val="auto"/>
          <w:kern w:val="2"/>
          <w:sz w:val="32"/>
          <w:szCs w:val="32"/>
          <w:highlight w:val="none"/>
          <w:lang w:val="en-US" w:eastAsia="zh-CN" w:bidi="ar-SA"/>
        </w:rPr>
        <w:t>推动生态数字化。依托一体化中台能力，全面升级C+生态体系；手机银行、个人网银、企业网银、微信银行等面客渠道完成迭代升级；通过“蒲公英”计划，推进集约运营和数智化运营，实现全行网点业务远程授权全覆盖</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落地惠民惠农财政补贴资金的“一卡通”代发项目、山西银行粮油交易保证金业务系统项目，银农直连项目等</w:t>
      </w:r>
      <w:r>
        <w:rPr>
          <w:rFonts w:hint="default" w:ascii="Times New Roman" w:hAnsi="Times New Roman" w:cs="Times New Roman"/>
          <w:color w:val="auto"/>
          <w:kern w:val="2"/>
          <w:sz w:val="32"/>
          <w:szCs w:val="32"/>
          <w:highlight w:val="none"/>
          <w:lang w:val="en-US" w:eastAsia="zh-CN" w:bidi="ar-SA"/>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（四）企业责任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cs="Times New Roman"/>
          <w:color w:val="C00000"/>
        </w:rPr>
      </w:pPr>
      <w:r>
        <w:rPr>
          <w:rFonts w:hint="default" w:ascii="Times New Roman" w:hAnsi="Times New Roman" w:eastAsia="仿宋_GB2312" w:cs="Times New Roman"/>
          <w:color w:val="000000"/>
          <w:kern w:val="0"/>
          <w:sz w:val="31"/>
          <w:szCs w:val="31"/>
          <w:lang w:val="en-US" w:eastAsia="zh-CN" w:bidi="ar"/>
        </w:rPr>
        <w:t>1.</w:t>
      </w:r>
      <w:r>
        <w:rPr>
          <w:rFonts w:hint="default" w:ascii="Times New Roman" w:hAnsi="Times New Roman" w:cs="Times New Roman"/>
          <w:color w:val="000000"/>
          <w:kern w:val="0"/>
          <w:sz w:val="31"/>
          <w:szCs w:val="31"/>
          <w:lang w:val="en-US" w:eastAsia="zh-CN" w:bidi="ar"/>
        </w:rPr>
        <w:t xml:space="preserve"> </w:t>
      </w:r>
      <w:r>
        <w:rPr>
          <w:rFonts w:hint="default" w:ascii="Times New Roman" w:hAnsi="Times New Roman" w:eastAsia="仿宋_GB2312" w:cs="Times New Roman"/>
          <w:color w:val="000000"/>
          <w:kern w:val="0"/>
          <w:sz w:val="31"/>
          <w:szCs w:val="31"/>
          <w:lang w:val="en-US" w:eastAsia="zh-CN" w:bidi="ar"/>
        </w:rPr>
        <w:t>员工情况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截至报告期末，本行正式在册员工总计6464人。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 xml:space="preserve">2. </w:t>
      </w:r>
      <w:r>
        <w:rPr>
          <w:rFonts w:hint="default" w:ascii="Times New Roman" w:hAnsi="Times New Roman" w:eastAsia="仿宋_GB2312" w:cs="Times New Roman"/>
          <w:kern w:val="2"/>
          <w:sz w:val="32"/>
          <w:szCs w:val="32"/>
          <w:lang w:val="en-US" w:eastAsia="zh-CN" w:bidi="ar-SA"/>
        </w:rPr>
        <w:t>劳动保障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kern w:val="2"/>
          <w:sz w:val="32"/>
          <w:szCs w:val="32"/>
          <w:lang w:val="en-US" w:eastAsia="zh-CN" w:bidi="ar-SA"/>
        </w:rPr>
      </w:pPr>
      <w:r>
        <w:rPr>
          <w:rFonts w:hint="default" w:ascii="Times New Roman" w:hAnsi="Times New Roman" w:cs="Times New Roman"/>
          <w:kern w:val="2"/>
          <w:sz w:val="32"/>
          <w:szCs w:val="32"/>
          <w:lang w:val="en-US" w:eastAsia="zh-CN" w:bidi="ar-SA"/>
        </w:rPr>
        <w:t>本行自觉遵守劳动法、劳动合同法、妇女权益保障法等法律法规。员工入职之日即签订劳动合同，切实保障“三期”女员工合法权益，制定了请休假、考勤有关制度并严格执行，按时足额支付员工工资，严格执行最低工资标准，及时足额缴纳社会保险及住房公积金</w:t>
      </w:r>
      <w:r>
        <w:rPr>
          <w:rFonts w:hint="eastAsia" w:ascii="Times New Roman" w:hAnsi="Times New Roman" w:cs="Times New Roman"/>
          <w:kern w:val="2"/>
          <w:sz w:val="32"/>
          <w:szCs w:val="32"/>
          <w:lang w:val="en-US" w:eastAsia="zh-CN" w:bidi="ar-SA"/>
        </w:rPr>
        <w:t>，并为员工建立了补充医疗保险项目</w:t>
      </w:r>
      <w:r>
        <w:rPr>
          <w:rFonts w:hint="default" w:ascii="Times New Roman" w:hAnsi="Times New Roman" w:cs="Times New Roman"/>
          <w:kern w:val="2"/>
          <w:sz w:val="32"/>
          <w:szCs w:val="32"/>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C00000"/>
          <w:kern w:val="2"/>
          <w:sz w:val="32"/>
          <w:szCs w:val="32"/>
          <w:lang w:val="en-US" w:eastAsia="zh-CN" w:bidi="ar-SA"/>
        </w:rPr>
      </w:pPr>
      <w:r>
        <w:rPr>
          <w:rFonts w:hint="default" w:ascii="Times New Roman" w:hAnsi="Times New Roman" w:cs="Times New Roman"/>
          <w:kern w:val="2"/>
          <w:sz w:val="32"/>
          <w:szCs w:val="32"/>
          <w:lang w:val="en-US" w:eastAsia="zh-CN" w:bidi="ar-SA"/>
        </w:rPr>
        <w:t xml:space="preserve">3. </w:t>
      </w:r>
      <w:r>
        <w:rPr>
          <w:rFonts w:hint="default" w:ascii="Times New Roman" w:hAnsi="Times New Roman" w:eastAsia="仿宋_GB2312" w:cs="Times New Roman"/>
          <w:kern w:val="2"/>
          <w:sz w:val="32"/>
          <w:szCs w:val="32"/>
          <w:lang w:val="en-US" w:eastAsia="zh-CN" w:bidi="ar-SA"/>
        </w:rPr>
        <w:t>纳税情况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报告期内</w:t>
      </w:r>
      <w:r>
        <w:rPr>
          <w:rFonts w:hint="default" w:ascii="Times New Roman" w:hAnsi="Times New Roman" w:eastAsia="仿宋_GB2312" w:cs="Times New Roman"/>
          <w:kern w:val="2"/>
          <w:sz w:val="32"/>
          <w:szCs w:val="32"/>
          <w:lang w:val="en-US" w:eastAsia="zh-CN" w:bidi="ar-SA"/>
        </w:rPr>
        <w:t>，本行累计缴纳税费</w:t>
      </w:r>
      <w:r>
        <w:rPr>
          <w:rFonts w:hint="eastAsia" w:ascii="Times New Roman" w:hAnsi="Times New Roman" w:cs="Times New Roman"/>
          <w:kern w:val="2"/>
          <w:sz w:val="32"/>
          <w:szCs w:val="32"/>
          <w:lang w:val="en-US" w:eastAsia="zh-CN" w:bidi="ar-SA"/>
        </w:rPr>
        <w:t>5.35</w:t>
      </w:r>
      <w:r>
        <w:rPr>
          <w:rFonts w:hint="default" w:ascii="Times New Roman" w:hAnsi="Times New Roman" w:eastAsia="仿宋_GB2312" w:cs="Times New Roman"/>
          <w:kern w:val="2"/>
          <w:sz w:val="32"/>
          <w:szCs w:val="32"/>
          <w:lang w:val="en-US" w:eastAsia="zh-CN" w:bidi="ar-SA"/>
        </w:rPr>
        <w:t>亿元。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color w:val="C00000"/>
          <w:kern w:val="2"/>
          <w:sz w:val="32"/>
          <w:szCs w:val="32"/>
          <w:lang w:val="en-US" w:eastAsia="zh-CN" w:bidi="ar-SA"/>
        </w:rPr>
      </w:pPr>
      <w:r>
        <w:rPr>
          <w:rFonts w:hint="default" w:ascii="Times New Roman" w:hAnsi="Times New Roman" w:cs="Times New Roman"/>
          <w:kern w:val="2"/>
          <w:sz w:val="32"/>
          <w:szCs w:val="32"/>
          <w:lang w:val="en-US" w:eastAsia="zh-CN" w:bidi="ar-SA"/>
        </w:rPr>
        <w:t xml:space="preserve">4. </w:t>
      </w:r>
      <w:r>
        <w:rPr>
          <w:rFonts w:hint="default" w:ascii="Times New Roman" w:hAnsi="Times New Roman" w:eastAsia="仿宋_GB2312" w:cs="Times New Roman"/>
          <w:kern w:val="2"/>
          <w:sz w:val="32"/>
          <w:szCs w:val="32"/>
          <w:lang w:val="en-US" w:eastAsia="zh-CN" w:bidi="ar-SA"/>
        </w:rPr>
        <w:t>培训与成长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报告期内，全年培训工作做到有计划、有组织、有落实，有序推进实施了“分层大培训”“山银夜校”“业务大讲堂”“中高层干部能力提升培训班”等重点培训项目</w:t>
      </w:r>
      <w:r>
        <w:rPr>
          <w:rFonts w:hint="eastAsia" w:ascii="Times New Roman" w:hAnsi="Times New Roman" w:cs="Times New Roman"/>
          <w:lang w:val="en-US" w:eastAsia="zh-CN"/>
        </w:rPr>
        <w:t>，实现全条线覆盖，推动员工综合素质和履职能力持续提升</w:t>
      </w:r>
      <w:r>
        <w:rPr>
          <w:rFonts w:hint="default" w:ascii="Times New Roman" w:hAnsi="Times New Roman" w:cs="Times New Roman"/>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C00000"/>
          <w:kern w:val="2"/>
          <w:sz w:val="32"/>
          <w:szCs w:val="32"/>
          <w:lang w:val="en-US" w:eastAsia="zh-CN" w:bidi="ar-SA"/>
        </w:rPr>
      </w:pPr>
      <w:r>
        <w:rPr>
          <w:rFonts w:hint="default" w:ascii="Times New Roman" w:hAnsi="Times New Roman" w:cs="Times New Roman"/>
          <w:kern w:val="2"/>
          <w:sz w:val="32"/>
          <w:szCs w:val="32"/>
          <w:lang w:val="en-US" w:eastAsia="zh-CN" w:bidi="ar-SA"/>
        </w:rPr>
        <w:t xml:space="preserve">5. </w:t>
      </w:r>
      <w:r>
        <w:rPr>
          <w:rFonts w:hint="default" w:ascii="Times New Roman" w:hAnsi="Times New Roman" w:eastAsia="仿宋_GB2312" w:cs="Times New Roman"/>
          <w:kern w:val="2"/>
          <w:sz w:val="32"/>
          <w:szCs w:val="32"/>
          <w:lang w:val="en-US" w:eastAsia="zh-CN" w:bidi="ar-SA"/>
        </w:rPr>
        <w:t>薪酬福利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kern w:val="2"/>
          <w:sz w:val="32"/>
          <w:szCs w:val="32"/>
          <w:lang w:val="en-US" w:eastAsia="zh-CN" w:bidi="ar-SA"/>
        </w:rPr>
      </w:pPr>
      <w:r>
        <w:rPr>
          <w:rFonts w:hint="default" w:ascii="Times New Roman" w:hAnsi="Times New Roman" w:cs="Times New Roman"/>
          <w:kern w:val="2"/>
          <w:sz w:val="32"/>
          <w:szCs w:val="32"/>
          <w:lang w:val="en-US" w:eastAsia="zh-CN" w:bidi="ar-SA"/>
        </w:rPr>
        <w:t>本行薪酬总量根据全员薪酬目标总额、202</w:t>
      </w:r>
      <w:r>
        <w:rPr>
          <w:rFonts w:hint="eastAsia" w:ascii="Times New Roman" w:hAnsi="Times New Roman" w:cs="Times New Roman"/>
          <w:kern w:val="2"/>
          <w:sz w:val="32"/>
          <w:szCs w:val="32"/>
          <w:lang w:val="en-US" w:eastAsia="zh-CN" w:bidi="ar-SA"/>
        </w:rPr>
        <w:t>3</w:t>
      </w:r>
      <w:r>
        <w:rPr>
          <w:rFonts w:hint="default" w:ascii="Times New Roman" w:hAnsi="Times New Roman" w:cs="Times New Roman"/>
          <w:kern w:val="2"/>
          <w:sz w:val="32"/>
          <w:szCs w:val="32"/>
          <w:lang w:val="en-US" w:eastAsia="zh-CN" w:bidi="ar-SA"/>
        </w:rPr>
        <w:t>年度整体经营目标及监管政策确定，由固定薪酬、津补贴、绩效薪酬组成，固定薪酬、津补贴总量主要根据人员总量和薪酬标准核算；绩效薪酬根据绩效考核结果确定。本行福利按照国家有关规定执行，包括五险一金、体检、女工卫生费</w:t>
      </w:r>
      <w:r>
        <w:rPr>
          <w:rFonts w:hint="eastAsia" w:ascii="Times New Roman" w:hAnsi="Times New Roman" w:cs="Times New Roman"/>
          <w:kern w:val="2"/>
          <w:sz w:val="32"/>
          <w:szCs w:val="32"/>
          <w:lang w:val="en-US" w:eastAsia="zh-CN" w:bidi="ar-SA"/>
        </w:rPr>
        <w:t>、独生子女费、婴幼儿保教费</w:t>
      </w:r>
      <w:r>
        <w:rPr>
          <w:rFonts w:hint="default" w:ascii="Times New Roman" w:hAnsi="Times New Roman" w:cs="Times New Roman"/>
          <w:kern w:val="2"/>
          <w:sz w:val="32"/>
          <w:szCs w:val="32"/>
          <w:lang w:val="en-US" w:eastAsia="zh-CN" w:bidi="ar-SA"/>
        </w:rPr>
        <w:t>等。2023年，根据《关于做好省属国有金融企业津贴补贴和福利管理工作的通知》的工作要求，进一步完善了津补贴</w:t>
      </w:r>
      <w:r>
        <w:rPr>
          <w:rFonts w:hint="eastAsia" w:ascii="Times New Roman" w:hAnsi="Times New Roman" w:cs="Times New Roman"/>
          <w:kern w:val="2"/>
          <w:sz w:val="32"/>
          <w:szCs w:val="32"/>
          <w:lang w:val="en-US" w:eastAsia="zh-CN" w:bidi="ar-SA"/>
        </w:rPr>
        <w:t>、</w:t>
      </w:r>
      <w:r>
        <w:rPr>
          <w:rFonts w:hint="default" w:ascii="Times New Roman" w:hAnsi="Times New Roman" w:cs="Times New Roman"/>
          <w:kern w:val="2"/>
          <w:sz w:val="32"/>
          <w:szCs w:val="32"/>
          <w:lang w:val="en-US" w:eastAsia="zh-CN" w:bidi="ar-SA"/>
        </w:rPr>
        <w:t>福利管理，同时为山西银行全体员工建立了补充医疗项目，并惠及员工子女。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 xml:space="preserve">6. </w:t>
      </w:r>
      <w:r>
        <w:rPr>
          <w:rFonts w:hint="default" w:ascii="Times New Roman" w:hAnsi="Times New Roman" w:eastAsia="仿宋_GB2312" w:cs="Times New Roman"/>
          <w:kern w:val="2"/>
          <w:sz w:val="32"/>
          <w:szCs w:val="32"/>
          <w:lang w:val="en-US" w:eastAsia="zh-CN" w:bidi="ar-SA"/>
        </w:rPr>
        <w:t>扶贫救灾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val="en-US" w:eastAsia="zh-CN"/>
        </w:rPr>
        <w:t>2023年，</w:t>
      </w:r>
      <w:r>
        <w:rPr>
          <w:rFonts w:hint="default" w:ascii="Times New Roman" w:hAnsi="Times New Roman" w:cs="Times New Roman"/>
          <w:color w:val="auto"/>
          <w:sz w:val="32"/>
          <w:szCs w:val="32"/>
          <w:lang w:val="en-US" w:eastAsia="zh-CN"/>
        </w:rPr>
        <w:t>本行按照省市党委相关工作部署和要求，积极扛牢省属国有企业责任，</w:t>
      </w:r>
      <w:r>
        <w:rPr>
          <w:rFonts w:hint="default" w:ascii="Times New Roman" w:hAnsi="Times New Roman" w:eastAsia="仿宋_GB2312" w:cs="Times New Roman"/>
          <w:color w:val="auto"/>
          <w:sz w:val="32"/>
          <w:szCs w:val="32"/>
          <w:lang w:val="en-US" w:eastAsia="zh-CN"/>
        </w:rPr>
        <w:t>坚持把巩固拓展脱贫攻坚成果同乡村振兴有效衔接作为重点工作持续推进，扎实开展驻村帮扶工作，采取一系列行</w:t>
      </w:r>
      <w:r>
        <w:rPr>
          <w:rFonts w:hint="eastAsia" w:ascii="仿宋_GB2312" w:hAnsi="仿宋_GB2312" w:eastAsia="仿宋_GB2312" w:cs="仿宋_GB2312"/>
          <w:color w:val="auto"/>
          <w:sz w:val="32"/>
          <w:szCs w:val="32"/>
          <w:lang w:val="en-US" w:eastAsia="zh-CN"/>
        </w:rPr>
        <w:t>之有效的帮扶措施，积极落实帮扶政策，加大产业帮扶投入带动村集体经济的发展和群众增收，把驻村工作队的辛苦指数转化为人民群众的幸福指数，切实提升群众满意度</w:t>
      </w:r>
      <w:r>
        <w:rPr>
          <w:rFonts w:hint="eastAsia" w:ascii="仿宋_GB2312" w:hAnsi="仿宋_GB2312" w:cs="仿宋_GB2312"/>
          <w:color w:val="auto"/>
          <w:sz w:val="32"/>
          <w:szCs w:val="32"/>
          <w:lang w:val="en-US" w:eastAsia="zh-CN"/>
        </w:rPr>
        <w:t>，</w:t>
      </w:r>
      <w:r>
        <w:rPr>
          <w:rFonts w:hint="default" w:ascii="Times New Roman" w:hAnsi="Times New Roman" w:cs="Times New Roman"/>
          <w:color w:val="auto"/>
          <w:sz w:val="32"/>
          <w:szCs w:val="32"/>
          <w:lang w:val="en-US" w:eastAsia="zh-CN"/>
        </w:rPr>
        <w:t>在2022年度</w:t>
      </w:r>
      <w:r>
        <w:rPr>
          <w:rFonts w:hint="eastAsia" w:ascii="仿宋_GB2312" w:hAnsi="仿宋_GB2312" w:cs="仿宋_GB2312"/>
          <w:color w:val="auto"/>
          <w:sz w:val="32"/>
          <w:szCs w:val="32"/>
          <w:lang w:val="en-US" w:eastAsia="zh-CN"/>
        </w:rPr>
        <w:t>省金融办考核工作中获得优秀等次。</w:t>
      </w:r>
    </w:p>
    <w:p>
      <w:pPr>
        <w:pStyle w:val="6"/>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cs="Times New Roman"/>
          <w:color w:val="C00000"/>
          <w:kern w:val="2"/>
          <w:sz w:val="32"/>
          <w:szCs w:val="32"/>
          <w:lang w:val="en-US" w:eastAsia="zh-CN" w:bidi="ar-SA"/>
        </w:rPr>
      </w:pPr>
      <w:r>
        <w:rPr>
          <w:rFonts w:hint="default" w:ascii="Times New Roman" w:hAnsi="Times New Roman" w:cs="Times New Roman"/>
          <w:b w:val="0"/>
          <w:sz w:val="32"/>
          <w:szCs w:val="32"/>
          <w:lang w:val="en-US" w:eastAsia="zh-CN"/>
        </w:rPr>
        <w:t xml:space="preserve">7. </w:t>
      </w:r>
      <w:r>
        <w:rPr>
          <w:rFonts w:hint="default" w:ascii="Times New Roman" w:hAnsi="Times New Roman" w:eastAsia="仿宋_GB2312" w:cs="Times New Roman"/>
          <w:kern w:val="2"/>
          <w:sz w:val="32"/>
          <w:szCs w:val="32"/>
          <w:lang w:val="en-US" w:eastAsia="zh-CN" w:bidi="ar-SA"/>
        </w:rPr>
        <w:t>党风廉政建设</w:t>
      </w:r>
    </w:p>
    <w:p>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rPr>
          <w:rFonts w:hint="eastAsia" w:ascii="仿宋_GB2312" w:hAnsi="仿宋_GB2312" w:eastAsia="仿宋_GB2312" w:cs="仿宋_GB2312"/>
          <w:b w:val="0"/>
          <w:bCs/>
          <w:color w:val="auto"/>
          <w:spacing w:val="8"/>
          <w:sz w:val="32"/>
          <w:szCs w:val="32"/>
          <w:highlight w:val="none"/>
          <w:lang w:val="en-US" w:eastAsia="zh-CN"/>
        </w:rPr>
      </w:pPr>
      <w:r>
        <w:rPr>
          <w:rFonts w:hint="eastAsia" w:ascii="Times New Roman" w:hAnsi="Times New Roman" w:cs="Times New Roman"/>
          <w:sz w:val="32"/>
          <w:szCs w:val="32"/>
          <w:lang w:val="en-US" w:eastAsia="zh-CN"/>
        </w:rPr>
        <w:t>2023年，本行坚决扛牢管党治党政治责任，坚定不移推进政治建设，全行党风廉政建设工作取得新成效。</w:t>
      </w:r>
      <w:r>
        <w:rPr>
          <w:rFonts w:hint="eastAsia" w:ascii="Times New Roman" w:hAnsi="Times New Roman" w:cs="Times New Roman"/>
          <w:b/>
          <w:bCs/>
          <w:sz w:val="32"/>
          <w:szCs w:val="32"/>
          <w:lang w:val="en-US" w:eastAsia="zh-CN"/>
        </w:rPr>
        <w:t>一是</w:t>
      </w:r>
      <w:r>
        <w:rPr>
          <w:rFonts w:hint="eastAsia" w:ascii="Times New Roman" w:hAnsi="Times New Roman" w:cs="Times New Roman"/>
          <w:sz w:val="32"/>
          <w:szCs w:val="32"/>
          <w:lang w:val="en-US" w:eastAsia="zh-CN"/>
        </w:rPr>
        <w:t>深化理论武装，筑牢思想根基。</w:t>
      </w:r>
      <w:r>
        <w:rPr>
          <w:rFonts w:hint="eastAsia" w:ascii="仿宋_GB2312" w:hAnsi="仿宋_GB2312" w:eastAsia="仿宋_GB2312" w:cs="仿宋_GB2312"/>
          <w:b w:val="0"/>
          <w:bCs/>
          <w:color w:val="auto"/>
          <w:spacing w:val="8"/>
          <w:sz w:val="32"/>
          <w:szCs w:val="32"/>
          <w:highlight w:val="none"/>
        </w:rPr>
        <w:t>以开展学习贯彻习近平新时代中国特色社会主义思想主题教育为重点，认真学习、深刻领会习近平总书记重要讲话精神</w:t>
      </w:r>
      <w:r>
        <w:rPr>
          <w:rFonts w:hint="eastAsia" w:ascii="仿宋_GB2312" w:hAnsi="仿宋_GB2312" w:eastAsia="仿宋_GB2312" w:cs="仿宋_GB2312"/>
          <w:b w:val="0"/>
          <w:bCs/>
          <w:color w:val="auto"/>
          <w:spacing w:val="8"/>
          <w:sz w:val="32"/>
          <w:szCs w:val="32"/>
          <w:highlight w:val="none"/>
          <w:lang w:val="en-US" w:eastAsia="zh-CN"/>
        </w:rPr>
        <w:t>和</w:t>
      </w:r>
      <w:r>
        <w:rPr>
          <w:rFonts w:hint="eastAsia" w:ascii="仿宋_GB2312" w:hAnsi="仿宋_GB2312" w:eastAsia="仿宋_GB2312" w:cs="仿宋_GB2312"/>
          <w:b w:val="0"/>
          <w:bCs/>
          <w:color w:val="auto"/>
          <w:spacing w:val="8"/>
          <w:sz w:val="32"/>
          <w:szCs w:val="32"/>
          <w:highlight w:val="none"/>
        </w:rPr>
        <w:t>党中央关于党风廉政建设重要部署</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sz w:val="32"/>
          <w:szCs w:val="32"/>
          <w:highlight w:val="none"/>
        </w:rPr>
        <w:t>引导全体干部员工筑牢廉洁思想堤坝</w:t>
      </w:r>
      <w:r>
        <w:rPr>
          <w:rFonts w:hint="eastAsia" w:ascii="仿宋_GB2312" w:hAnsi="仿宋_GB2312" w:cs="仿宋_GB2312"/>
          <w:b w:val="0"/>
          <w:bCs/>
          <w:color w:val="auto"/>
          <w:spacing w:val="8"/>
          <w:sz w:val="32"/>
          <w:szCs w:val="32"/>
          <w:highlight w:val="none"/>
          <w:lang w:eastAsia="zh-CN"/>
        </w:rPr>
        <w:t>；</w:t>
      </w:r>
      <w:r>
        <w:rPr>
          <w:rFonts w:hint="eastAsia" w:ascii="Times New Roman" w:hAnsi="Times New Roman" w:cs="Times New Roman"/>
          <w:b/>
          <w:bCs/>
          <w:sz w:val="32"/>
          <w:szCs w:val="32"/>
          <w:lang w:val="en-US" w:eastAsia="zh-CN"/>
        </w:rPr>
        <w:t>二是</w:t>
      </w:r>
      <w:r>
        <w:rPr>
          <w:rFonts w:hint="eastAsia" w:ascii="仿宋_GB2312" w:hAnsi="仿宋_GB2312" w:eastAsia="仿宋_GB2312" w:cs="仿宋_GB2312"/>
          <w:b w:val="0"/>
          <w:bCs/>
          <w:color w:val="auto"/>
          <w:spacing w:val="8"/>
          <w:sz w:val="32"/>
          <w:szCs w:val="32"/>
          <w:highlight w:val="none"/>
        </w:rPr>
        <w:t>完善“五维”监督</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cs="仿宋_GB2312"/>
          <w:b w:val="0"/>
          <w:bCs/>
          <w:color w:val="auto"/>
          <w:spacing w:val="8"/>
          <w:sz w:val="32"/>
          <w:szCs w:val="32"/>
          <w:highlight w:val="none"/>
          <w:lang w:val="en-US" w:eastAsia="zh-CN"/>
        </w:rPr>
        <w:t>规范权力运行。</w:t>
      </w:r>
      <w:r>
        <w:rPr>
          <w:rFonts w:hint="eastAsia" w:ascii="仿宋_GB2312" w:hAnsi="仿宋_GB2312" w:eastAsia="仿宋_GB2312" w:cs="仿宋_GB2312"/>
          <w:b w:val="0"/>
          <w:bCs/>
          <w:color w:val="auto"/>
          <w:spacing w:val="8"/>
          <w:kern w:val="0"/>
          <w:sz w:val="32"/>
          <w:szCs w:val="32"/>
          <w:highlight w:val="none"/>
        </w:rPr>
        <w:t>通过不断</w:t>
      </w:r>
      <w:r>
        <w:rPr>
          <w:rFonts w:hint="eastAsia" w:ascii="仿宋_GB2312" w:hAnsi="仿宋_GB2312" w:eastAsia="仿宋_GB2312" w:cs="仿宋_GB2312"/>
          <w:b w:val="0"/>
          <w:bCs/>
          <w:color w:val="auto"/>
          <w:spacing w:val="8"/>
          <w:sz w:val="32"/>
          <w:szCs w:val="32"/>
          <w:highlight w:val="none"/>
        </w:rPr>
        <w:t>健全完善廉洁</w:t>
      </w:r>
      <w:r>
        <w:rPr>
          <w:rFonts w:hint="eastAsia" w:ascii="仿宋_GB2312" w:hAnsi="仿宋_GB2312" w:eastAsia="仿宋_GB2312" w:cs="仿宋_GB2312"/>
          <w:b w:val="0"/>
          <w:bCs/>
          <w:color w:val="auto"/>
          <w:spacing w:val="8"/>
          <w:kern w:val="0"/>
          <w:sz w:val="32"/>
          <w:szCs w:val="32"/>
          <w:highlight w:val="none"/>
        </w:rPr>
        <w:t>制度</w:t>
      </w:r>
      <w:r>
        <w:rPr>
          <w:rFonts w:hint="eastAsia" w:ascii="仿宋_GB2312" w:hAnsi="仿宋_GB2312" w:eastAsia="仿宋_GB2312" w:cs="仿宋_GB2312"/>
          <w:b w:val="0"/>
          <w:bCs/>
          <w:color w:val="auto"/>
          <w:spacing w:val="8"/>
          <w:sz w:val="32"/>
          <w:szCs w:val="32"/>
          <w:highlight w:val="none"/>
        </w:rPr>
        <w:t>体系，形成制度束廉的良好效</w:t>
      </w:r>
      <w:r>
        <w:rPr>
          <w:rFonts w:hint="eastAsia" w:ascii="仿宋_GB2312" w:hAnsi="仿宋_GB2312" w:cs="仿宋_GB2312"/>
          <w:b w:val="0"/>
          <w:bCs/>
          <w:color w:val="auto"/>
          <w:spacing w:val="8"/>
          <w:sz w:val="32"/>
          <w:szCs w:val="32"/>
          <w:highlight w:val="none"/>
          <w:lang w:val="en-US" w:eastAsia="zh-CN"/>
        </w:rPr>
        <w:t>果；</w:t>
      </w:r>
      <w:r>
        <w:rPr>
          <w:rFonts w:hint="eastAsia" w:ascii="Times New Roman" w:hAnsi="Times New Roman" w:cs="Times New Roman"/>
          <w:b/>
          <w:bCs/>
          <w:sz w:val="32"/>
          <w:szCs w:val="32"/>
          <w:lang w:val="en-US" w:eastAsia="zh-CN"/>
        </w:rPr>
        <w:t>三是</w:t>
      </w:r>
      <w:r>
        <w:rPr>
          <w:rFonts w:hint="eastAsia" w:ascii="仿宋_GB2312" w:hAnsi="仿宋_GB2312" w:cs="仿宋_GB2312"/>
          <w:b w:val="0"/>
          <w:bCs/>
          <w:color w:val="auto"/>
          <w:spacing w:val="8"/>
          <w:sz w:val="32"/>
          <w:szCs w:val="32"/>
          <w:highlight w:val="none"/>
          <w:lang w:val="en-US" w:eastAsia="zh-CN"/>
        </w:rPr>
        <w:t>强化主题教育，聚焦问题整改。</w:t>
      </w:r>
      <w:r>
        <w:rPr>
          <w:rFonts w:hint="eastAsia" w:ascii="仿宋_GB2312" w:hAnsi="仿宋_GB2312" w:eastAsia="仿宋_GB2312" w:cs="仿宋_GB2312"/>
          <w:b w:val="0"/>
          <w:bCs/>
          <w:color w:val="auto"/>
          <w:spacing w:val="8"/>
          <w:sz w:val="32"/>
          <w:szCs w:val="32"/>
          <w:highlight w:val="none"/>
          <w:lang w:val="en-US" w:eastAsia="zh-CN"/>
        </w:rPr>
        <w:t>坚决贯彻落实党中央、省委主题教育工作部署，坚持把强化组织领导、加强理论学习、深入调查研究、检视问题整改、推动经营发展贯穿始终，推动全行主题教育扎实稳步推进</w:t>
      </w:r>
      <w:r>
        <w:rPr>
          <w:rFonts w:hint="eastAsia" w:ascii="仿宋_GB2312" w:hAnsi="仿宋_GB2312" w:cs="仿宋_GB2312"/>
          <w:b w:val="0"/>
          <w:bCs/>
          <w:color w:val="auto"/>
          <w:spacing w:val="8"/>
          <w:sz w:val="32"/>
          <w:szCs w:val="32"/>
          <w:highlight w:val="none"/>
          <w:lang w:val="en-US" w:eastAsia="zh-CN"/>
        </w:rPr>
        <w:t>；</w:t>
      </w:r>
      <w:r>
        <w:rPr>
          <w:rFonts w:hint="eastAsia" w:ascii="Times New Roman" w:hAnsi="Times New Roman" w:cs="Times New Roman"/>
          <w:b/>
          <w:bCs/>
          <w:sz w:val="32"/>
          <w:szCs w:val="32"/>
          <w:lang w:val="en-US" w:eastAsia="zh-CN"/>
        </w:rPr>
        <w:t>四是</w:t>
      </w:r>
      <w:r>
        <w:rPr>
          <w:rFonts w:hint="eastAsia" w:ascii="仿宋_GB2312" w:hAnsi="仿宋_GB2312" w:eastAsia="仿宋_GB2312" w:cs="仿宋_GB2312"/>
          <w:b w:val="0"/>
          <w:bCs/>
          <w:color w:val="auto"/>
          <w:spacing w:val="8"/>
          <w:sz w:val="32"/>
          <w:szCs w:val="32"/>
          <w:highlight w:val="none"/>
          <w:lang w:val="en-US" w:eastAsia="zh-CN"/>
        </w:rPr>
        <w:t>示范引领，</w:t>
      </w:r>
      <w:r>
        <w:rPr>
          <w:rFonts w:hint="eastAsia" w:ascii="仿宋_GB2312" w:hAnsi="仿宋_GB2312" w:eastAsia="仿宋_GB2312" w:cs="仿宋_GB2312"/>
          <w:b w:val="0"/>
          <w:bCs/>
          <w:color w:val="auto"/>
          <w:spacing w:val="8"/>
          <w:sz w:val="32"/>
          <w:szCs w:val="32"/>
          <w:highlight w:val="none"/>
        </w:rPr>
        <w:t>建设清廉山银</w:t>
      </w:r>
      <w:r>
        <w:rPr>
          <w:rFonts w:hint="eastAsia" w:ascii="仿宋_GB2312" w:hAnsi="仿宋_GB2312" w:cs="仿宋_GB2312"/>
          <w:b w:val="0"/>
          <w:bCs/>
          <w:color w:val="auto"/>
          <w:spacing w:val="8"/>
          <w:sz w:val="32"/>
          <w:szCs w:val="32"/>
          <w:highlight w:val="none"/>
          <w:lang w:eastAsia="zh-CN"/>
        </w:rPr>
        <w:t>。</w:t>
      </w:r>
      <w:r>
        <w:rPr>
          <w:rFonts w:hint="eastAsia" w:ascii="仿宋_GB2312" w:hAnsi="仿宋_GB2312" w:eastAsia="仿宋_GB2312" w:cs="仿宋_GB2312"/>
          <w:b w:val="0"/>
          <w:bCs/>
          <w:color w:val="auto"/>
          <w:spacing w:val="8"/>
          <w:kern w:val="0"/>
          <w:sz w:val="32"/>
          <w:szCs w:val="32"/>
          <w:highlight w:val="none"/>
        </w:rPr>
        <w:t>组织召开清廉国企建设推进会，多角度展现清廉国企建设的阶段性成果，多形式阐述“山青为美 银廉为好”廉洁金融文化品牌的创建过程及内涵寓意，擦亮了“清廉山银”亮丽名片。</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kern w:val="2"/>
          <w:sz w:val="32"/>
          <w:szCs w:val="32"/>
          <w:lang w:val="en-US" w:eastAsia="zh-CN" w:bidi="ar-SA"/>
        </w:rPr>
        <w:t>八、经营情况概述</w:t>
      </w:r>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669"/>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highlight w:val="none"/>
          <w:lang w:val="en-US" w:eastAsia="zh-CN"/>
        </w:rPr>
        <w:t>2023年，本行</w:t>
      </w:r>
      <w:r>
        <w:rPr>
          <w:rFonts w:hint="default" w:ascii="Times New Roman" w:hAnsi="Times New Roman" w:cs="Times New Roman"/>
          <w:color w:val="000000"/>
          <w:sz w:val="32"/>
          <w:szCs w:val="32"/>
          <w:lang w:val="en-US" w:eastAsia="zh-CN"/>
        </w:rPr>
        <w:t>锚定高质量发展方向，坚持“三线作战”、推进“三个转型”，聚焦“六个打造”、推动“三个反转”，全行</w:t>
      </w:r>
      <w:r>
        <w:rPr>
          <w:rFonts w:hint="default" w:ascii="Times New Roman" w:hAnsi="Times New Roman" w:eastAsia="仿宋_GB2312" w:cs="Times New Roman"/>
          <w:color w:val="000000"/>
          <w:sz w:val="32"/>
          <w:szCs w:val="32"/>
        </w:rPr>
        <w:t>“化险”</w:t>
      </w:r>
      <w:r>
        <w:rPr>
          <w:rFonts w:hint="default" w:ascii="Times New Roman" w:hAnsi="Times New Roman" w:cs="Times New Roman"/>
          <w:color w:val="000000"/>
          <w:sz w:val="32"/>
          <w:szCs w:val="32"/>
          <w:lang w:val="en-US" w:eastAsia="zh-CN"/>
        </w:rPr>
        <w:t>与</w:t>
      </w:r>
      <w:r>
        <w:rPr>
          <w:rFonts w:hint="default" w:ascii="Times New Roman" w:hAnsi="Times New Roman" w:eastAsia="仿宋_GB2312" w:cs="Times New Roman"/>
          <w:color w:val="000000"/>
          <w:sz w:val="32"/>
          <w:szCs w:val="32"/>
        </w:rPr>
        <w:t>“发展”并重，“破旧”</w:t>
      </w:r>
      <w:r>
        <w:rPr>
          <w:rFonts w:hint="default" w:ascii="Times New Roman" w:hAnsi="Times New Roman" w:cs="Times New Roman"/>
          <w:color w:val="000000"/>
          <w:sz w:val="32"/>
          <w:szCs w:val="32"/>
          <w:lang w:val="en-US" w:eastAsia="zh-CN"/>
        </w:rPr>
        <w:t>与</w:t>
      </w:r>
      <w:r>
        <w:rPr>
          <w:rFonts w:hint="default" w:ascii="Times New Roman" w:hAnsi="Times New Roman" w:eastAsia="仿宋_GB2312" w:cs="Times New Roman"/>
          <w:color w:val="000000"/>
          <w:sz w:val="32"/>
          <w:szCs w:val="32"/>
        </w:rPr>
        <w:t>“立新”并</w:t>
      </w:r>
      <w:r>
        <w:rPr>
          <w:rFonts w:hint="default" w:ascii="Times New Roman" w:hAnsi="Times New Roman" w:cs="Times New Roman"/>
          <w:color w:val="000000"/>
          <w:sz w:val="32"/>
          <w:szCs w:val="32"/>
          <w:lang w:val="en-US" w:eastAsia="zh-CN"/>
        </w:rPr>
        <w:t>举。</w:t>
      </w:r>
      <w:r>
        <w:rPr>
          <w:rFonts w:hint="default" w:ascii="Times New Roman" w:hAnsi="Times New Roman" w:cs="Times New Roman"/>
          <w:b/>
          <w:bCs/>
          <w:color w:val="000000"/>
          <w:sz w:val="32"/>
          <w:szCs w:val="32"/>
          <w:lang w:val="en-US" w:eastAsia="zh-CN"/>
        </w:rPr>
        <w:t>一是</w:t>
      </w:r>
      <w:r>
        <w:rPr>
          <w:rFonts w:hint="default" w:ascii="Times New Roman" w:hAnsi="Times New Roman" w:eastAsia="仿宋_GB2312" w:cs="Times New Roman"/>
          <w:color w:val="000000"/>
          <w:kern w:val="0"/>
          <w:sz w:val="32"/>
          <w:szCs w:val="32"/>
          <w:lang w:val="en-US" w:eastAsia="zh-CN" w:bidi="ar"/>
        </w:rPr>
        <w:t>聚焦制约经营发展的关键问题，</w:t>
      </w:r>
      <w:r>
        <w:rPr>
          <w:rFonts w:hint="default" w:ascii="Times New Roman" w:hAnsi="Times New Roman" w:cs="Times New Roman"/>
          <w:color w:val="000000"/>
          <w:kern w:val="0"/>
          <w:sz w:val="32"/>
          <w:szCs w:val="32"/>
          <w:lang w:val="en-US" w:eastAsia="zh-CN" w:bidi="ar"/>
        </w:rPr>
        <w:t>坚持</w:t>
      </w:r>
      <w:r>
        <w:rPr>
          <w:rFonts w:hint="default" w:ascii="Times New Roman" w:hAnsi="Times New Roman" w:eastAsia="仿宋_GB2312" w:cs="Times New Roman"/>
          <w:color w:val="000000"/>
          <w:kern w:val="0"/>
          <w:sz w:val="32"/>
          <w:szCs w:val="32"/>
          <w:lang w:val="en-US" w:eastAsia="zh-CN" w:bidi="ar"/>
        </w:rPr>
        <w:t>“三个反转”</w:t>
      </w:r>
      <w:r>
        <w:rPr>
          <w:rFonts w:hint="default" w:ascii="Times New Roman" w:hAnsi="Times New Roman" w:cs="Times New Roman"/>
          <w:color w:val="000000"/>
          <w:kern w:val="0"/>
          <w:sz w:val="32"/>
          <w:szCs w:val="32"/>
          <w:lang w:val="en-US" w:eastAsia="zh-CN" w:bidi="ar"/>
        </w:rPr>
        <w:t>方向</w:t>
      </w:r>
      <w:r>
        <w:rPr>
          <w:rFonts w:hint="default" w:ascii="Times New Roman" w:hAnsi="Times New Roman" w:eastAsia="仿宋_GB2312" w:cs="Times New Roman"/>
          <w:color w:val="000000"/>
          <w:kern w:val="0"/>
          <w:sz w:val="32"/>
          <w:szCs w:val="32"/>
          <w:lang w:val="en-US" w:eastAsia="zh-CN" w:bidi="ar"/>
        </w:rPr>
        <w:t>，打响对公存款、零售贷款两个翻身仗</w:t>
      </w:r>
      <w:r>
        <w:rPr>
          <w:rFonts w:hint="default" w:ascii="Times New Roman" w:hAnsi="Times New Roman" w:cs="Times New Roman"/>
          <w:color w:val="000000"/>
          <w:kern w:val="0"/>
          <w:sz w:val="32"/>
          <w:szCs w:val="32"/>
          <w:lang w:val="en-US" w:eastAsia="zh-CN" w:bidi="ar"/>
        </w:rPr>
        <w:t>，资负结构得到有效优化</w:t>
      </w:r>
      <w:r>
        <w:rPr>
          <w:rFonts w:hint="eastAsia" w:ascii="Times New Roman" w:hAnsi="Times New Roman" w:cs="Times New Roman"/>
          <w:color w:val="000000"/>
          <w:kern w:val="0"/>
          <w:sz w:val="32"/>
          <w:szCs w:val="32"/>
          <w:lang w:val="en-US" w:eastAsia="zh-CN" w:bidi="ar"/>
        </w:rPr>
        <w:t>；</w:t>
      </w:r>
      <w:r>
        <w:rPr>
          <w:rFonts w:hint="default" w:ascii="Times New Roman" w:hAnsi="Times New Roman" w:cs="Times New Roman"/>
          <w:b/>
          <w:bCs/>
          <w:color w:val="000000"/>
          <w:kern w:val="0"/>
          <w:sz w:val="32"/>
          <w:szCs w:val="32"/>
          <w:lang w:val="en-US" w:eastAsia="zh-CN" w:bidi="ar"/>
        </w:rPr>
        <w:t>二是</w:t>
      </w:r>
      <w:r>
        <w:rPr>
          <w:rFonts w:hint="default" w:ascii="Times New Roman" w:hAnsi="Times New Roman" w:eastAsia="仿宋_GB2312" w:cs="Times New Roman"/>
          <w:color w:val="000000"/>
          <w:kern w:val="0"/>
          <w:sz w:val="32"/>
          <w:szCs w:val="32"/>
          <w:lang w:val="en-US" w:eastAsia="zh-CN" w:bidi="ar"/>
        </w:rPr>
        <w:t>以新理念、新打法构建特色化、差异化发展模式。首创相伴成长的“C+”客户服务成长体系，</w:t>
      </w:r>
      <w:r>
        <w:rPr>
          <w:rFonts w:hint="default" w:ascii="Times New Roman" w:hAnsi="Times New Roman" w:eastAsia="仿宋_GB2312" w:cs="Times New Roman"/>
          <w:sz w:val="32"/>
          <w:szCs w:val="32"/>
          <w:lang w:val="en-US" w:eastAsia="zh-CN"/>
        </w:rPr>
        <w:t>推出养老金融</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增福存</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储蓄产品，落地全省首笔跨行“带押过户”业务</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加快落实“六个赋能”，</w:t>
      </w:r>
      <w:r>
        <w:rPr>
          <w:rFonts w:hint="default" w:ascii="Times New Roman" w:hAnsi="Times New Roman" w:cs="Times New Roman"/>
          <w:sz w:val="32"/>
          <w:szCs w:val="32"/>
          <w:lang w:val="en-US" w:eastAsia="zh-CN"/>
        </w:rPr>
        <w:t>成功</w:t>
      </w:r>
      <w:r>
        <w:rPr>
          <w:rFonts w:hint="default" w:ascii="Times New Roman" w:hAnsi="Times New Roman" w:eastAsia="仿宋_GB2312" w:cs="Times New Roman"/>
          <w:sz w:val="32"/>
          <w:szCs w:val="32"/>
          <w:lang w:val="en-US" w:eastAsia="zh-CN"/>
        </w:rPr>
        <w:t>获批</w:t>
      </w:r>
      <w:r>
        <w:rPr>
          <w:rFonts w:hint="default" w:ascii="Times New Roman" w:hAnsi="Times New Roman" w:cs="Times New Roman"/>
          <w:sz w:val="32"/>
          <w:szCs w:val="32"/>
          <w:lang w:val="en-US" w:eastAsia="zh-CN"/>
        </w:rPr>
        <w:t>总行</w:t>
      </w:r>
      <w:r>
        <w:rPr>
          <w:rFonts w:hint="default" w:ascii="Times New Roman" w:hAnsi="Times New Roman" w:eastAsia="仿宋_GB2312" w:cs="Times New Roman"/>
          <w:sz w:val="32"/>
          <w:szCs w:val="32"/>
          <w:lang w:val="en-US" w:eastAsia="zh-CN"/>
        </w:rPr>
        <w:t>小企业信贷中心牌照，经营体系转型变革的成效初步显现</w:t>
      </w:r>
      <w:r>
        <w:rPr>
          <w:rFonts w:hint="eastAsia" w:ascii="Times New Roman" w:hAnsi="Times New Roman" w:cs="Times New Roman"/>
          <w:sz w:val="32"/>
          <w:szCs w:val="32"/>
          <w:lang w:val="en-US" w:eastAsia="zh-CN"/>
        </w:rPr>
        <w:t>；</w:t>
      </w:r>
      <w:r>
        <w:rPr>
          <w:rFonts w:hint="default" w:ascii="Times New Roman" w:hAnsi="Times New Roman" w:cs="Times New Roman"/>
          <w:b/>
          <w:bCs/>
          <w:sz w:val="32"/>
          <w:szCs w:val="32"/>
          <w:lang w:val="en-US" w:eastAsia="zh-CN"/>
        </w:rPr>
        <w:t>三是</w:t>
      </w:r>
      <w:r>
        <w:rPr>
          <w:rFonts w:hint="default" w:ascii="Times New Roman" w:hAnsi="Times New Roman" w:eastAsia="仿宋_GB2312" w:cs="Times New Roman"/>
          <w:sz w:val="32"/>
          <w:szCs w:val="32"/>
          <w:lang w:val="en-US" w:eastAsia="zh-CN"/>
        </w:rPr>
        <w:t>坚守金融本源，</w:t>
      </w:r>
      <w:r>
        <w:rPr>
          <w:rFonts w:hint="default" w:ascii="Times New Roman" w:hAnsi="Times New Roman" w:cs="Times New Roman"/>
          <w:sz w:val="32"/>
          <w:szCs w:val="32"/>
          <w:lang w:val="en-US" w:eastAsia="zh-CN"/>
        </w:rPr>
        <w:t>提高</w:t>
      </w:r>
      <w:r>
        <w:rPr>
          <w:rFonts w:hint="default" w:ascii="Times New Roman" w:hAnsi="Times New Roman" w:eastAsia="仿宋_GB2312" w:cs="Times New Roman"/>
          <w:sz w:val="32"/>
          <w:szCs w:val="32"/>
          <w:lang w:val="en-US" w:eastAsia="zh-CN"/>
        </w:rPr>
        <w:t>金融服务精度，</w:t>
      </w:r>
      <w:r>
        <w:rPr>
          <w:rFonts w:hint="default" w:ascii="Times New Roman" w:hAnsi="Times New Roman" w:cs="Times New Roman"/>
          <w:sz w:val="32"/>
          <w:szCs w:val="32"/>
          <w:lang w:val="en-US" w:eastAsia="zh-CN"/>
        </w:rPr>
        <w:t>把</w:t>
      </w:r>
      <w:r>
        <w:rPr>
          <w:rFonts w:hint="default" w:ascii="Times New Roman" w:hAnsi="Times New Roman" w:eastAsia="仿宋_GB2312" w:cs="Times New Roman"/>
          <w:sz w:val="32"/>
          <w:szCs w:val="32"/>
          <w:lang w:val="en-US" w:eastAsia="zh-CN"/>
        </w:rPr>
        <w:t>更多的资源配置</w:t>
      </w:r>
      <w:r>
        <w:rPr>
          <w:rFonts w:hint="default" w:ascii="Times New Roman" w:hAnsi="Times New Roman" w:cs="Times New Roman"/>
          <w:sz w:val="32"/>
          <w:szCs w:val="32"/>
          <w:lang w:val="en-US" w:eastAsia="zh-CN"/>
        </w:rPr>
        <w:t>投向</w:t>
      </w:r>
      <w:r>
        <w:rPr>
          <w:rFonts w:hint="default" w:ascii="Times New Roman" w:hAnsi="Times New Roman" w:eastAsia="仿宋_GB2312" w:cs="Times New Roman"/>
          <w:sz w:val="32"/>
          <w:szCs w:val="32"/>
          <w:lang w:val="en-US" w:eastAsia="zh-CN"/>
        </w:rPr>
        <w:t>全省重大战略、重点领域和薄弱环节，针对省市重大项目、产业升级“强链补链”、专业镇建设开展项目清单式对接，跟进式服务</w:t>
      </w:r>
      <w:r>
        <w:rPr>
          <w:rFonts w:hint="eastAsia" w:ascii="Times New Roman" w:hAnsi="Times New Roman" w:cs="Times New Roman"/>
          <w:sz w:val="32"/>
          <w:szCs w:val="32"/>
          <w:lang w:val="en-US" w:eastAsia="zh-CN"/>
        </w:rPr>
        <w:t>；</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lang w:val="en-US" w:eastAsia="zh-CN"/>
        </w:rPr>
        <w:t>紧紧围绕“七个不变”不良控降总方针，坚决执行“包死基数、只降不增、按季考核”的管理举措，出台存量资产管控方案，降旧与控新两手抓、两手硬</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推动资产质量持续向好</w:t>
      </w:r>
      <w:r>
        <w:rPr>
          <w:rFonts w:hint="eastAsia" w:ascii="Times New Roman" w:hAnsi="Times New Roman" w:cs="Times New Roman"/>
          <w:sz w:val="32"/>
          <w:szCs w:val="32"/>
          <w:lang w:val="en-US" w:eastAsia="zh-CN"/>
        </w:rPr>
        <w:t>；</w:t>
      </w:r>
      <w:r>
        <w:rPr>
          <w:rFonts w:hint="default" w:ascii="Times New Roman" w:hAnsi="Times New Roman" w:cs="Times New Roman"/>
          <w:b/>
          <w:bCs/>
          <w:sz w:val="32"/>
          <w:szCs w:val="32"/>
          <w:lang w:val="en-US" w:eastAsia="zh-CN"/>
        </w:rPr>
        <w:t>五是</w:t>
      </w:r>
      <w:r>
        <w:rPr>
          <w:rFonts w:hint="default" w:ascii="Times New Roman" w:hAnsi="Times New Roman" w:eastAsia="仿宋_GB2312" w:cs="Times New Roman"/>
          <w:color w:val="000000"/>
          <w:sz w:val="32"/>
          <w:szCs w:val="32"/>
          <w:lang w:val="en-US" w:eastAsia="zh-CN"/>
        </w:rPr>
        <w:t>旗帜鲜明走投入产出更优、资源配置更高效的发展之路，明确“三增三降”财务管理方向，强化财经纪律意识，传导勤俭办行</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过紧日子的理念，以精细化、高效能引领管理转型稳步推进。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highlight w:val="none"/>
          <w:lang w:val="en-US" w:eastAsia="zh-CN"/>
        </w:rPr>
      </w:pPr>
      <w:r>
        <w:rPr>
          <w:rFonts w:hint="default" w:ascii="Times New Roman" w:hAnsi="Times New Roman" w:eastAsia="黑体" w:cs="Times New Roman"/>
          <w:kern w:val="2"/>
          <w:sz w:val="32"/>
          <w:szCs w:val="32"/>
          <w:lang w:val="en-US" w:eastAsia="zh-CN" w:bidi="ar-SA"/>
        </w:rPr>
        <w:t>九、</w:t>
      </w:r>
      <w:r>
        <w:rPr>
          <w:rFonts w:hint="default" w:ascii="Times New Roman" w:hAnsi="Times New Roman" w:eastAsia="黑体" w:cs="Times New Roman"/>
          <w:highlight w:val="none"/>
          <w:lang w:val="en-US" w:eastAsia="zh-CN"/>
        </w:rPr>
        <w:t>职工权益保护情况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（一）全年劳动合同签订数</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截至</w:t>
      </w:r>
      <w:r>
        <w:rPr>
          <w:rFonts w:hint="default" w:ascii="Times New Roman" w:hAnsi="Times New Roman" w:eastAsia="仿宋_GB2312" w:cs="Times New Roman"/>
          <w:kern w:val="2"/>
          <w:sz w:val="32"/>
          <w:szCs w:val="32"/>
          <w:lang w:val="en-US" w:eastAsia="zh-CN" w:bidi="ar-SA"/>
        </w:rPr>
        <w:t>报告期末，全行在岗人员全部签订劳动合同。</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（二）维护职工权益情况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报告期内，本行坚持以人为本、关爱职工、服务职工的理念，</w:t>
      </w:r>
      <w:r>
        <w:rPr>
          <w:rFonts w:hint="eastAsia" w:ascii="仿宋_GB2312" w:hAnsi="仿宋_GB2312" w:cs="仿宋_GB2312"/>
          <w:sz w:val="32"/>
          <w:szCs w:val="32"/>
          <w:lang w:val="en-US" w:eastAsia="zh-CN"/>
        </w:rPr>
        <w:t>严格</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《山西银行职工代表大会工作制度》，召开第一届第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次职工代表大会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val="en-US" w:eastAsia="zh-CN"/>
        </w:rPr>
        <w:t>工会委员会议，</w:t>
      </w:r>
      <w:r>
        <w:rPr>
          <w:rFonts w:hint="eastAsia" w:ascii="仿宋_GB2312" w:hAnsi="仿宋_GB2312" w:cs="仿宋_GB2312"/>
          <w:sz w:val="32"/>
          <w:szCs w:val="32"/>
          <w:lang w:val="en-US" w:eastAsia="zh-CN"/>
        </w:rPr>
        <w:t>对关系到职工切身利益的问题进行讨论和决策，维护职工的合法权益；</w:t>
      </w:r>
      <w:r>
        <w:rPr>
          <w:rFonts w:hint="eastAsia" w:ascii="仿宋_GB2312" w:hAnsi="仿宋_GB2312" w:eastAsia="仿宋_GB2312" w:cs="仿宋_GB2312"/>
          <w:sz w:val="32"/>
          <w:szCs w:val="32"/>
        </w:rPr>
        <w:t>开展职业病防治法宣传周宣传活动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组织职工体检</w:t>
      </w:r>
      <w:r>
        <w:rPr>
          <w:rFonts w:hint="eastAsia" w:ascii="仿宋_GB2312" w:hAnsi="仿宋_GB2312" w:cs="仿宋_GB2312"/>
          <w:sz w:val="32"/>
          <w:szCs w:val="32"/>
          <w:lang w:val="en-US" w:eastAsia="zh-CN"/>
        </w:rPr>
        <w:t>，用心守护职工健康；严格落实女职工权益和特殊利益保护规定，</w:t>
      </w:r>
      <w:r>
        <w:rPr>
          <w:rFonts w:hint="default" w:ascii="Times New Roman" w:hAnsi="Times New Roman" w:cs="Times New Roman"/>
          <w:b w:val="0"/>
          <w:bCs w:val="0"/>
          <w:kern w:val="2"/>
          <w:sz w:val="32"/>
          <w:szCs w:val="32"/>
          <w:lang w:val="en-US" w:eastAsia="zh-CN" w:bidi="ar-SA"/>
        </w:rPr>
        <w:t>试点创建“妈咪小屋”，加强女职工劳动保护设施建设</w:t>
      </w:r>
      <w:r>
        <w:rPr>
          <w:rFonts w:hint="eastAsia" w:ascii="Times New Roman" w:hAnsi="Times New Roman" w:cs="Times New Roman"/>
          <w:b w:val="0"/>
          <w:bCs w:val="0"/>
          <w:kern w:val="2"/>
          <w:sz w:val="32"/>
          <w:szCs w:val="32"/>
          <w:lang w:val="en-US" w:eastAsia="zh-CN" w:bidi="ar-SA"/>
        </w:rPr>
        <w:t>；</w:t>
      </w:r>
      <w:r>
        <w:rPr>
          <w:rFonts w:hint="eastAsia" w:ascii="仿宋_GB2312" w:hAnsi="仿宋_GB2312" w:eastAsia="仿宋_GB2312" w:cs="仿宋_GB2312"/>
          <w:sz w:val="32"/>
          <w:szCs w:val="32"/>
          <w:lang w:val="en-US" w:eastAsia="zh-CN"/>
        </w:rPr>
        <w:t>落实好</w:t>
      </w:r>
      <w:r>
        <w:rPr>
          <w:rFonts w:hint="eastAsia" w:ascii="仿宋_GB2312" w:hAnsi="仿宋_GB2312" w:eastAsia="仿宋_GB2312" w:cs="仿宋_GB2312"/>
          <w:sz w:val="32"/>
          <w:szCs w:val="32"/>
        </w:rPr>
        <w:t>职工福利</w:t>
      </w:r>
      <w:r>
        <w:rPr>
          <w:rFonts w:hint="eastAsia" w:ascii="仿宋_GB2312" w:hAnsi="仿宋_GB2312" w:cs="仿宋_GB2312"/>
          <w:sz w:val="32"/>
          <w:szCs w:val="32"/>
          <w:lang w:val="en-US" w:eastAsia="zh-CN"/>
        </w:rPr>
        <w:t>政策</w:t>
      </w: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在</w:t>
      </w:r>
      <w:r>
        <w:rPr>
          <w:rFonts w:hint="default" w:ascii="仿宋_GB2312" w:hAnsi="仿宋_GB2312" w:eastAsia="仿宋_GB2312" w:cs="仿宋_GB2312"/>
          <w:sz w:val="32"/>
          <w:szCs w:val="32"/>
        </w:rPr>
        <w:t>春节、端午、中秋等</w:t>
      </w:r>
      <w:r>
        <w:rPr>
          <w:rFonts w:hint="default" w:ascii="仿宋_GB2312" w:hAnsi="仿宋_GB2312" w:eastAsia="仿宋_GB2312" w:cs="仿宋_GB2312"/>
          <w:sz w:val="32"/>
          <w:szCs w:val="32"/>
          <w:lang w:val="en-US" w:eastAsia="zh-CN"/>
        </w:rPr>
        <w:t>传统节日</w:t>
      </w:r>
      <w:r>
        <w:rPr>
          <w:rFonts w:hint="default" w:ascii="仿宋_GB2312" w:hAnsi="仿宋_GB2312" w:eastAsia="仿宋_GB2312" w:cs="仿宋_GB2312"/>
          <w:sz w:val="32"/>
          <w:szCs w:val="32"/>
        </w:rPr>
        <w:t>发放</w:t>
      </w:r>
      <w:r>
        <w:rPr>
          <w:rFonts w:hint="eastAsia" w:ascii="仿宋_GB2312" w:hAnsi="仿宋_GB2312" w:cs="仿宋_GB2312"/>
          <w:sz w:val="32"/>
          <w:szCs w:val="32"/>
          <w:lang w:val="en-US" w:eastAsia="zh-CN"/>
        </w:rPr>
        <w:t>慰问品，惠及广大职工，不断提高工会向心力和凝聚力</w:t>
      </w:r>
      <w:r>
        <w:rPr>
          <w:rFonts w:hint="default" w:ascii="仿宋_GB2312" w:hAnsi="仿宋_GB2312" w:eastAsia="仿宋_GB2312" w:cs="仿宋_GB2312"/>
          <w:sz w:val="32"/>
          <w:szCs w:val="32"/>
          <w:lang w:val="en-US" w:eastAsia="zh-C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（三）职称评定办法及程序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仿宋_GB2312" w:cs="Times New Roman"/>
          <w:kern w:val="2"/>
          <w:sz w:val="32"/>
          <w:szCs w:val="32"/>
          <w:highlight w:val="none"/>
          <w:lang w:val="en-US" w:eastAsia="zh-CN" w:bidi="ar-SA"/>
        </w:rPr>
        <w:t>报告期内，暂未开展职称评定。</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（四）人才培训计划及落实情况</w:t>
      </w:r>
    </w:p>
    <w:p>
      <w:pPr>
        <w:keepNext w:val="0"/>
        <w:keepLines w:val="0"/>
        <w:pageBreakBefore w:val="0"/>
        <w:widowControl w:val="0"/>
        <w:tabs>
          <w:tab w:val="left" w:pos="1993"/>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highlight w:val="none"/>
          <w:lang w:val="en-US" w:eastAsia="zh-CN"/>
        </w:rPr>
        <w:t>报告期内，本行</w:t>
      </w:r>
      <w:r>
        <w:rPr>
          <w:rFonts w:hint="default" w:ascii="Times New Roman" w:hAnsi="Times New Roman" w:eastAsia="仿宋_GB2312" w:cs="Times New Roman"/>
          <w:sz w:val="32"/>
          <w:szCs w:val="32"/>
          <w:lang w:val="en-US" w:eastAsia="zh-CN"/>
        </w:rPr>
        <w:t>围绕提升各岗位从业人员能力素质的要求，积极开展各项培训工作。其中，“分层大培训”，主要围绕本岗位履职应掌握的基础知识、基础技能开展，培训内容以相关法律法规、监管规定、行内制度及流程、产品手册、系统操作等</w:t>
      </w:r>
      <w:r>
        <w:rPr>
          <w:rFonts w:hint="eastAsia" w:ascii="Times New Roman" w:hAnsi="Times New Roman" w:cs="Times New Roman"/>
          <w:sz w:val="32"/>
          <w:szCs w:val="32"/>
          <w:lang w:val="en-US" w:eastAsia="zh-CN"/>
        </w:rPr>
        <w:t>履行岗位职责</w:t>
      </w:r>
      <w:r>
        <w:rPr>
          <w:rFonts w:hint="default" w:ascii="Times New Roman" w:hAnsi="Times New Roman" w:eastAsia="仿宋_GB2312" w:cs="Times New Roman"/>
          <w:sz w:val="32"/>
          <w:szCs w:val="32"/>
          <w:lang w:val="en-US" w:eastAsia="zh-CN"/>
        </w:rPr>
        <w:t>应知应会的内容为主；“业务大讲堂”全年举办238场，参训达到189731人次，实现条线全员覆盖；</w:t>
      </w:r>
      <w:r>
        <w:rPr>
          <w:rFonts w:hint="default" w:ascii="Times New Roman" w:hAnsi="Times New Roman" w:eastAsia="仿宋_GB2312" w:cs="Times New Roman"/>
          <w:sz w:val="32"/>
          <w:szCs w:val="32"/>
          <w:highlight w:val="none"/>
          <w:lang w:val="en-US" w:eastAsia="zh-CN"/>
        </w:rPr>
        <w:t>线上培训平台“登塔学苑”在我行培训工作中发挥重要作用，平台线上课程共1835门，全年线上课程学习人次252879人次，组织线上考试327场，直播培训495场，观看人次达219104余人次；各分行在总行条线统一安排的培训外，结合自身情况积极组织培训学习，12家分行全年共组织完成各类培训1819场，参训人次达到101370人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黑体" w:cs="Times New Roman"/>
          <w:highlight w:val="none"/>
        </w:rPr>
      </w:pPr>
      <w:r>
        <w:rPr>
          <w:rFonts w:hint="default" w:ascii="Times New Roman" w:hAnsi="Times New Roman" w:eastAsia="楷体_GB2312" w:cs="Times New Roman"/>
          <w:kern w:val="2"/>
          <w:sz w:val="32"/>
          <w:szCs w:val="32"/>
          <w:lang w:val="en-US" w:eastAsia="zh-CN" w:bidi="ar-SA"/>
        </w:rPr>
        <w:t>（五）全年工会工作情况概述</w:t>
      </w:r>
    </w:p>
    <w:p>
      <w:pPr>
        <w:pStyle w:val="54"/>
        <w:keepNext w:val="0"/>
        <w:keepLines w:val="0"/>
        <w:pageBreakBefore w:val="0"/>
        <w:widowControl w:val="0"/>
        <w:kinsoku/>
        <w:wordWrap/>
        <w:topLinePunct w:val="0"/>
        <w:bidi w:val="0"/>
        <w:snapToGrid/>
        <w:spacing w:before="0" w:after="0" w:line="560" w:lineRule="exact"/>
        <w:ind w:firstLine="640" w:firstLineChars="200"/>
        <w:rPr>
          <w:rFonts w:hint="default" w:ascii="Times New Roman" w:hAnsi="Times New Roman" w:cs="Times New Roman"/>
          <w:b w:val="0"/>
          <w:bCs w:val="0"/>
          <w:kern w:val="2"/>
          <w:sz w:val="32"/>
          <w:szCs w:val="32"/>
          <w:lang w:val="en-US" w:eastAsia="zh-CN" w:bidi="ar-SA"/>
        </w:rPr>
      </w:pPr>
      <w:r>
        <w:rPr>
          <w:rFonts w:hint="default" w:ascii="Times New Roman" w:hAnsi="Times New Roman" w:cs="Times New Roman"/>
          <w:b w:val="0"/>
          <w:bCs w:val="0"/>
          <w:kern w:val="2"/>
          <w:sz w:val="32"/>
          <w:szCs w:val="32"/>
          <w:lang w:val="en-US" w:eastAsia="zh-CN" w:bidi="ar-SA"/>
        </w:rPr>
        <w:t>报告期内，本行工会坚持围绕中心、服务大局，真抓实干、守正创新工作理念，</w:t>
      </w:r>
      <w:r>
        <w:rPr>
          <w:rFonts w:hint="eastAsia" w:ascii="Times New Roman" w:hAnsi="Times New Roman" w:cs="Times New Roman"/>
          <w:b w:val="0"/>
          <w:bCs w:val="0"/>
          <w:kern w:val="2"/>
          <w:sz w:val="32"/>
          <w:szCs w:val="32"/>
          <w:lang w:val="en-US" w:eastAsia="zh-CN" w:bidi="ar-SA"/>
        </w:rPr>
        <w:t>充分发挥工会密切联系联系群众的桥梁纽带作用，</w:t>
      </w:r>
      <w:r>
        <w:rPr>
          <w:rFonts w:hint="default" w:ascii="Times New Roman" w:hAnsi="Times New Roman" w:cs="Times New Roman"/>
          <w:b w:val="0"/>
          <w:bCs w:val="0"/>
          <w:kern w:val="2"/>
          <w:sz w:val="32"/>
          <w:szCs w:val="32"/>
          <w:lang w:val="en-US" w:eastAsia="zh-CN" w:bidi="ar-SA"/>
        </w:rPr>
        <w:t>不断深化政治引领、统一思想认识、为各项目标的顺利实现，发挥了积极作用，提供了坚强保障。主要工作有以下几个方面：</w:t>
      </w:r>
      <w:r>
        <w:rPr>
          <w:rFonts w:hint="default" w:ascii="Times New Roman" w:hAnsi="Times New Roman" w:cs="Times New Roman"/>
          <w:b/>
          <w:bCs/>
          <w:kern w:val="2"/>
          <w:sz w:val="32"/>
          <w:szCs w:val="32"/>
          <w:lang w:val="en-US" w:eastAsia="zh-CN" w:bidi="ar-SA"/>
        </w:rPr>
        <w:t>一是</w:t>
      </w:r>
      <w:r>
        <w:rPr>
          <w:rFonts w:hint="default" w:ascii="Times New Roman" w:hAnsi="Times New Roman" w:cs="Times New Roman"/>
          <w:b w:val="0"/>
          <w:bCs w:val="0"/>
          <w:kern w:val="2"/>
          <w:sz w:val="32"/>
          <w:szCs w:val="32"/>
          <w:lang w:val="en-US" w:eastAsia="zh-CN" w:bidi="ar-SA"/>
        </w:rPr>
        <w:t>坚持正确方向，强化思想政治引领。专题学习中国工会十八大精神、习近平在同中华全国总工会新一届领导班子成员集体谈话时的讲话精神，深刻领会会议精神和核心要义</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bCs/>
          <w:kern w:val="2"/>
          <w:sz w:val="32"/>
          <w:szCs w:val="32"/>
          <w:lang w:val="en-US" w:eastAsia="zh-CN" w:bidi="ar-SA"/>
        </w:rPr>
        <w:t>二是</w:t>
      </w:r>
      <w:r>
        <w:rPr>
          <w:rFonts w:hint="default" w:ascii="Times New Roman" w:hAnsi="Times New Roman" w:cs="Times New Roman"/>
          <w:b w:val="0"/>
          <w:bCs w:val="0"/>
          <w:kern w:val="2"/>
          <w:sz w:val="32"/>
          <w:szCs w:val="32"/>
          <w:lang w:val="en-US" w:eastAsia="zh-CN" w:bidi="ar-SA"/>
        </w:rPr>
        <w:t>坚持从严管理，加强工会自身建设。优化工会考核办法，举办全行工会工作规范化管理培训班，开展“聚焦深化改革优化管理、不断提升工会工作质效”调研</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bCs/>
          <w:kern w:val="2"/>
          <w:sz w:val="32"/>
          <w:szCs w:val="32"/>
          <w:lang w:val="en-US" w:eastAsia="zh-CN" w:bidi="ar-SA"/>
        </w:rPr>
        <w:t>三是</w:t>
      </w:r>
      <w:r>
        <w:rPr>
          <w:rFonts w:hint="default" w:ascii="Times New Roman" w:hAnsi="Times New Roman" w:cs="Times New Roman"/>
          <w:b w:val="0"/>
          <w:bCs w:val="0"/>
          <w:kern w:val="2"/>
          <w:sz w:val="32"/>
          <w:szCs w:val="32"/>
          <w:lang w:val="en-US" w:eastAsia="zh-CN" w:bidi="ar-SA"/>
        </w:rPr>
        <w:t>坚持问题导向，解决职工实际困难。为身患重大疾病、意外伤害致危急重症导致家庭生活困难的职工家庭申请救助，做好大病救助工作</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bCs/>
          <w:kern w:val="2"/>
          <w:sz w:val="32"/>
          <w:szCs w:val="32"/>
          <w:lang w:val="en-US" w:eastAsia="zh-CN" w:bidi="ar-SA"/>
        </w:rPr>
        <w:t>四是</w:t>
      </w:r>
      <w:r>
        <w:rPr>
          <w:rFonts w:hint="default" w:ascii="Times New Roman" w:hAnsi="Times New Roman" w:cs="Times New Roman"/>
          <w:b w:val="0"/>
          <w:bCs w:val="0"/>
          <w:kern w:val="2"/>
          <w:sz w:val="32"/>
          <w:szCs w:val="32"/>
          <w:lang w:val="en-US" w:eastAsia="zh-CN" w:bidi="ar-SA"/>
        </w:rPr>
        <w:t>丰富文体生活，激发职工活力。参加全省金融系统第五届职工羽毛球比赛、第三届兵乓球友谊赛</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val="0"/>
          <w:bCs w:val="0"/>
          <w:kern w:val="2"/>
          <w:sz w:val="32"/>
          <w:szCs w:val="32"/>
          <w:lang w:val="en-US" w:eastAsia="zh-CN" w:bidi="ar-SA"/>
        </w:rPr>
        <w:t>举办健康、茶艺等系列沙龙活动，开展猜灯谜活动弘扬中华优秀传统文化，在行庆两周年举办趣味运动会凝聚奋进力量。</w:t>
      </w:r>
      <w:r>
        <w:rPr>
          <w:rFonts w:hint="default" w:ascii="Times New Roman" w:hAnsi="Times New Roman" w:cs="Times New Roman"/>
          <w:b/>
          <w:bCs/>
          <w:kern w:val="2"/>
          <w:sz w:val="32"/>
          <w:szCs w:val="32"/>
          <w:lang w:val="en-US" w:eastAsia="zh-CN" w:bidi="ar-SA"/>
        </w:rPr>
        <w:t>五是</w:t>
      </w:r>
      <w:r>
        <w:rPr>
          <w:rFonts w:hint="eastAsia" w:ascii="Times New Roman" w:hAnsi="Times New Roman" w:cs="Times New Roman"/>
          <w:b w:val="0"/>
          <w:bCs w:val="0"/>
          <w:kern w:val="2"/>
          <w:sz w:val="32"/>
          <w:szCs w:val="32"/>
          <w:lang w:val="en-US" w:eastAsia="zh-CN" w:bidi="ar-SA"/>
        </w:rPr>
        <w:t>履行社会责任，彰显山银担当</w:t>
      </w:r>
      <w:r>
        <w:rPr>
          <w:rFonts w:hint="default" w:ascii="Times New Roman" w:hAnsi="Times New Roman" w:cs="Times New Roman"/>
          <w:b w:val="0"/>
          <w:bCs w:val="0"/>
          <w:kern w:val="2"/>
          <w:sz w:val="32"/>
          <w:szCs w:val="32"/>
          <w:lang w:val="en-US" w:eastAsia="zh-CN" w:bidi="ar-SA"/>
        </w:rPr>
        <w:t>。</w:t>
      </w:r>
      <w:r>
        <w:rPr>
          <w:rFonts w:hint="eastAsia" w:ascii="Times New Roman" w:hAnsi="Times New Roman" w:cs="Times New Roman"/>
          <w:b w:val="0"/>
          <w:bCs w:val="0"/>
          <w:kern w:val="2"/>
          <w:sz w:val="32"/>
          <w:szCs w:val="32"/>
          <w:lang w:val="en-US" w:eastAsia="zh-CN" w:bidi="ar-SA"/>
        </w:rPr>
        <w:t>组织</w:t>
      </w:r>
      <w:r>
        <w:rPr>
          <w:rFonts w:hint="default" w:ascii="Times New Roman" w:hAnsi="Times New Roman" w:cs="Times New Roman"/>
          <w:b w:val="0"/>
          <w:bCs w:val="0"/>
          <w:kern w:val="2"/>
          <w:sz w:val="32"/>
          <w:szCs w:val="32"/>
          <w:lang w:val="en-US" w:eastAsia="zh-CN" w:bidi="ar-SA"/>
        </w:rPr>
        <w:t>“博爱一日捐”“送温暖、献爱心”捐助活动</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val="0"/>
          <w:bCs w:val="0"/>
          <w:kern w:val="2"/>
          <w:sz w:val="32"/>
          <w:szCs w:val="32"/>
          <w:lang w:val="en-US" w:eastAsia="zh-CN" w:bidi="ar-SA"/>
        </w:rPr>
        <w:t>创建“户外劳动者爱心驿站”</w:t>
      </w:r>
      <w:r>
        <w:rPr>
          <w:rFonts w:hint="eastAsia" w:ascii="Times New Roman" w:hAnsi="Times New Roman" w:cs="Times New Roman"/>
          <w:b w:val="0"/>
          <w:bCs w:val="0"/>
          <w:kern w:val="2"/>
          <w:sz w:val="32"/>
          <w:szCs w:val="32"/>
          <w:lang w:val="en-US" w:eastAsia="zh-CN" w:bidi="ar-SA"/>
        </w:rPr>
        <w:t>，</w:t>
      </w:r>
      <w:r>
        <w:rPr>
          <w:rFonts w:hint="default" w:ascii="Times New Roman" w:hAnsi="Times New Roman" w:cs="Times New Roman"/>
          <w:b w:val="0"/>
          <w:bCs w:val="0"/>
          <w:kern w:val="2"/>
          <w:sz w:val="32"/>
          <w:szCs w:val="32"/>
          <w:lang w:val="en-US" w:eastAsia="zh-CN" w:bidi="ar-SA"/>
        </w:rPr>
        <w:t>开展扶贫助困，多措并举帮助困难群众。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十、未来展望</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w:t>
      </w:r>
      <w:r>
        <w:rPr>
          <w:rFonts w:hint="default" w:ascii="Times New Roman" w:hAnsi="Times New Roman"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年是</w:t>
      </w:r>
      <w:r>
        <w:rPr>
          <w:rFonts w:hint="default" w:ascii="Times New Roman" w:hAnsi="Times New Roman" w:cs="Times New Roman"/>
          <w:kern w:val="2"/>
          <w:sz w:val="32"/>
          <w:szCs w:val="32"/>
          <w:lang w:val="en-US" w:eastAsia="zh-CN" w:bidi="ar-SA"/>
        </w:rPr>
        <w:t>贯彻落实中央金融工作会议精神的开局之年，也是山西银行奋力迈向高质量发展的关键之年</w:t>
      </w:r>
      <w:r>
        <w:rPr>
          <w:rFonts w:hint="eastAsia" w:ascii="Times New Roman" w:hAnsi="Times New Roman" w:cs="Times New Roman"/>
          <w:kern w:val="2"/>
          <w:sz w:val="32"/>
          <w:szCs w:val="32"/>
          <w:lang w:val="en-US" w:eastAsia="zh-CN" w:bidi="ar-SA"/>
        </w:rPr>
        <w:t>。立足新的起点，</w:t>
      </w:r>
      <w:r>
        <w:rPr>
          <w:rFonts w:hint="default" w:ascii="Times New Roman" w:hAnsi="Times New Roman" w:cs="Times New Roman"/>
          <w:kern w:val="2"/>
          <w:sz w:val="32"/>
          <w:szCs w:val="32"/>
          <w:lang w:val="en-US" w:eastAsia="zh-CN" w:bidi="ar-SA"/>
        </w:rPr>
        <w:t>本行将以习近平新时代中国特色社会主义思想为指引，坚持高质量发展方向不动摇，坚持践行金融政治性、人民性不动摇，坚持深耕山西</w:t>
      </w:r>
      <w:r>
        <w:rPr>
          <w:rFonts w:hint="eastAsia" w:ascii="Times New Roman" w:hAnsi="Times New Roman" w:cs="Times New Roman"/>
          <w:kern w:val="2"/>
          <w:sz w:val="32"/>
          <w:szCs w:val="32"/>
          <w:lang w:val="en-US" w:eastAsia="zh-CN" w:bidi="ar-SA"/>
        </w:rPr>
        <w:t>本土</w:t>
      </w:r>
      <w:r>
        <w:rPr>
          <w:rFonts w:hint="default" w:ascii="Times New Roman" w:hAnsi="Times New Roman" w:cs="Times New Roman"/>
          <w:kern w:val="2"/>
          <w:sz w:val="32"/>
          <w:szCs w:val="32"/>
          <w:lang w:val="en-US" w:eastAsia="zh-CN" w:bidi="ar-SA"/>
        </w:rPr>
        <w:t>、服务实体</w:t>
      </w:r>
      <w:r>
        <w:rPr>
          <w:rFonts w:hint="eastAsia" w:ascii="Times New Roman" w:hAnsi="Times New Roman" w:cs="Times New Roman"/>
          <w:kern w:val="2"/>
          <w:sz w:val="32"/>
          <w:szCs w:val="32"/>
          <w:lang w:val="en-US" w:eastAsia="zh-CN" w:bidi="ar-SA"/>
        </w:rPr>
        <w:t>经济</w:t>
      </w:r>
      <w:r>
        <w:rPr>
          <w:rFonts w:hint="default" w:ascii="Times New Roman" w:hAnsi="Times New Roman" w:cs="Times New Roman"/>
          <w:kern w:val="2"/>
          <w:sz w:val="32"/>
          <w:szCs w:val="32"/>
          <w:lang w:val="en-US" w:eastAsia="zh-CN" w:bidi="ar-SA"/>
        </w:rPr>
        <w:t>不动摇，以提升经营效益为核心、以深化转型发展为路径，以防控风险为底线，接续“三线作战”，推进“十大工程”，做好“五篇大文章”，实施“6612”工作举措，努力在高质量发展的轨道上迈进一大步。</w:t>
      </w:r>
    </w:p>
    <w:p>
      <w:pPr>
        <w:pStyle w:val="7"/>
        <w:keepNext w:val="0"/>
        <w:keepLines w:val="0"/>
        <w:pageBreakBefore w:val="0"/>
        <w:widowControl w:val="0"/>
        <w:numPr>
          <w:ilvl w:val="0"/>
          <w:numId w:val="0"/>
        </w:numPr>
        <w:kinsoku/>
        <w:wordWrap/>
        <w:topLinePunct w:val="0"/>
        <w:bidi w:val="0"/>
        <w:snapToGrid/>
        <w:spacing w:line="560" w:lineRule="exact"/>
        <w:ind w:firstLine="640" w:firstLineChars="200"/>
        <w:jc w:val="both"/>
        <w:rPr>
          <w:rFonts w:hint="default" w:ascii="Times New Roman" w:hAnsi="Times New Roman" w:eastAsia="仿宋_GB2312" w:cs="Times New Roman"/>
          <w:sz w:val="32"/>
          <w:szCs w:val="32"/>
          <w:u w:val="single"/>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yIconfont">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思源黑体">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仿宋_GB2312"/>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rPr>
                        <w:rFonts w:hint="eastAsia" w:eastAsia="仿宋_GB2312"/>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38AC0"/>
    <w:multiLevelType w:val="singleLevel"/>
    <w:tmpl w:val="61138AC0"/>
    <w:lvl w:ilvl="0" w:tentative="0">
      <w:start w:val="1"/>
      <w:numFmt w:val="chineseCounting"/>
      <w:suff w:val="nothing"/>
      <w:lvlText w:val="（%1）"/>
      <w:lvlJc w:val="left"/>
    </w:lvl>
  </w:abstractNum>
  <w:abstractNum w:abstractNumId="1">
    <w:nsid w:val="61138ADE"/>
    <w:multiLevelType w:val="singleLevel"/>
    <w:tmpl w:val="61138ADE"/>
    <w:lvl w:ilvl="0" w:tentative="0">
      <w:start w:val="1"/>
      <w:numFmt w:val="decimal"/>
      <w:suff w:val="nothing"/>
      <w:lvlText w:val="%1."/>
      <w:lvlJc w:val="left"/>
    </w:lvl>
  </w:abstractNum>
  <w:abstractNum w:abstractNumId="2">
    <w:nsid w:val="61138B73"/>
    <w:multiLevelType w:val="singleLevel"/>
    <w:tmpl w:val="61138B73"/>
    <w:lvl w:ilvl="0" w:tentative="0">
      <w:start w:val="2"/>
      <w:numFmt w:val="chineseCounting"/>
      <w:suff w:val="nothing"/>
      <w:lvlText w:val="（%1）"/>
      <w:lvlJc w:val="left"/>
    </w:lvl>
  </w:abstractNum>
  <w:abstractNum w:abstractNumId="3">
    <w:nsid w:val="61138B96"/>
    <w:multiLevelType w:val="singleLevel"/>
    <w:tmpl w:val="61138B96"/>
    <w:lvl w:ilvl="0" w:tentative="0">
      <w:start w:val="6"/>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zMjZmYzQwMDZhMDk0MDJhMjM2MTVlNTRlYTZkMjMifQ=="/>
  </w:docVars>
  <w:rsids>
    <w:rsidRoot w:val="4BA35F4D"/>
    <w:rsid w:val="001717A4"/>
    <w:rsid w:val="009871E4"/>
    <w:rsid w:val="01043535"/>
    <w:rsid w:val="01357C38"/>
    <w:rsid w:val="01BA6A57"/>
    <w:rsid w:val="01CA4848"/>
    <w:rsid w:val="021F404A"/>
    <w:rsid w:val="023B0452"/>
    <w:rsid w:val="02B92D94"/>
    <w:rsid w:val="037004C5"/>
    <w:rsid w:val="048F17EB"/>
    <w:rsid w:val="04FF4E30"/>
    <w:rsid w:val="05821B43"/>
    <w:rsid w:val="05A34E4F"/>
    <w:rsid w:val="07467094"/>
    <w:rsid w:val="081B6EF7"/>
    <w:rsid w:val="085B2E7F"/>
    <w:rsid w:val="091009B6"/>
    <w:rsid w:val="098E6EF4"/>
    <w:rsid w:val="09D569EB"/>
    <w:rsid w:val="0A41318E"/>
    <w:rsid w:val="0A4A725C"/>
    <w:rsid w:val="0ADE50D8"/>
    <w:rsid w:val="0B4B4851"/>
    <w:rsid w:val="0B614790"/>
    <w:rsid w:val="0B8013DB"/>
    <w:rsid w:val="0B8877EC"/>
    <w:rsid w:val="0C30190C"/>
    <w:rsid w:val="0C46564F"/>
    <w:rsid w:val="0D835FE4"/>
    <w:rsid w:val="0E1C3864"/>
    <w:rsid w:val="0E7908F6"/>
    <w:rsid w:val="0E9314EF"/>
    <w:rsid w:val="0EA41188"/>
    <w:rsid w:val="0EA61DC7"/>
    <w:rsid w:val="0FAD38F4"/>
    <w:rsid w:val="0FD71DFB"/>
    <w:rsid w:val="100A4421"/>
    <w:rsid w:val="106918F9"/>
    <w:rsid w:val="10AB180A"/>
    <w:rsid w:val="10B87E1A"/>
    <w:rsid w:val="10C01ED3"/>
    <w:rsid w:val="121D624D"/>
    <w:rsid w:val="12227EA5"/>
    <w:rsid w:val="1246239A"/>
    <w:rsid w:val="13347E59"/>
    <w:rsid w:val="13736DDE"/>
    <w:rsid w:val="141B4C2E"/>
    <w:rsid w:val="143811B7"/>
    <w:rsid w:val="14480B26"/>
    <w:rsid w:val="14756DE7"/>
    <w:rsid w:val="1510477C"/>
    <w:rsid w:val="15990A4C"/>
    <w:rsid w:val="16371908"/>
    <w:rsid w:val="16AC2F58"/>
    <w:rsid w:val="17BC4673"/>
    <w:rsid w:val="17C510C6"/>
    <w:rsid w:val="17E27784"/>
    <w:rsid w:val="187F064C"/>
    <w:rsid w:val="18DA4E41"/>
    <w:rsid w:val="18E374A1"/>
    <w:rsid w:val="190B4089"/>
    <w:rsid w:val="19D400E3"/>
    <w:rsid w:val="1A183272"/>
    <w:rsid w:val="1A34593C"/>
    <w:rsid w:val="1CEC6AB9"/>
    <w:rsid w:val="1D04422F"/>
    <w:rsid w:val="1F054156"/>
    <w:rsid w:val="1F520F2C"/>
    <w:rsid w:val="1F7661D8"/>
    <w:rsid w:val="1FD742AF"/>
    <w:rsid w:val="1FDA558D"/>
    <w:rsid w:val="208A7077"/>
    <w:rsid w:val="21614AE5"/>
    <w:rsid w:val="222F207E"/>
    <w:rsid w:val="22BC5070"/>
    <w:rsid w:val="231C0DDE"/>
    <w:rsid w:val="23833727"/>
    <w:rsid w:val="23BF73F6"/>
    <w:rsid w:val="24E300F1"/>
    <w:rsid w:val="25522E0F"/>
    <w:rsid w:val="25575D65"/>
    <w:rsid w:val="255A6663"/>
    <w:rsid w:val="257A3D94"/>
    <w:rsid w:val="25DA0320"/>
    <w:rsid w:val="266415EE"/>
    <w:rsid w:val="268C5DAE"/>
    <w:rsid w:val="2793447F"/>
    <w:rsid w:val="28126BA5"/>
    <w:rsid w:val="29F01CEE"/>
    <w:rsid w:val="29F609D4"/>
    <w:rsid w:val="2A1E4E40"/>
    <w:rsid w:val="2A7734F7"/>
    <w:rsid w:val="2A9A780A"/>
    <w:rsid w:val="2AD907EF"/>
    <w:rsid w:val="2B1925F2"/>
    <w:rsid w:val="2BF32661"/>
    <w:rsid w:val="2D0D5572"/>
    <w:rsid w:val="2D761342"/>
    <w:rsid w:val="2DEF37E2"/>
    <w:rsid w:val="2E5034B3"/>
    <w:rsid w:val="2E820A41"/>
    <w:rsid w:val="2FF83826"/>
    <w:rsid w:val="30457D7D"/>
    <w:rsid w:val="30B57E4D"/>
    <w:rsid w:val="315623AD"/>
    <w:rsid w:val="325C0331"/>
    <w:rsid w:val="325E37ED"/>
    <w:rsid w:val="32810D45"/>
    <w:rsid w:val="329176F6"/>
    <w:rsid w:val="32C14FAA"/>
    <w:rsid w:val="32F63766"/>
    <w:rsid w:val="334B0167"/>
    <w:rsid w:val="33FE3D06"/>
    <w:rsid w:val="34084B2F"/>
    <w:rsid w:val="3472054D"/>
    <w:rsid w:val="3508057B"/>
    <w:rsid w:val="35540FC7"/>
    <w:rsid w:val="3564720A"/>
    <w:rsid w:val="357923F2"/>
    <w:rsid w:val="35AE196F"/>
    <w:rsid w:val="365B2D65"/>
    <w:rsid w:val="37445F1B"/>
    <w:rsid w:val="3753344F"/>
    <w:rsid w:val="37FF1011"/>
    <w:rsid w:val="381255A4"/>
    <w:rsid w:val="382673A7"/>
    <w:rsid w:val="388001AA"/>
    <w:rsid w:val="388E2521"/>
    <w:rsid w:val="393C5080"/>
    <w:rsid w:val="39605BF7"/>
    <w:rsid w:val="3A44716D"/>
    <w:rsid w:val="3AA8415F"/>
    <w:rsid w:val="3AAC229E"/>
    <w:rsid w:val="3AE82C3E"/>
    <w:rsid w:val="3CE90C0B"/>
    <w:rsid w:val="3DC354C9"/>
    <w:rsid w:val="3E1C4BE8"/>
    <w:rsid w:val="3E534736"/>
    <w:rsid w:val="3EA6117F"/>
    <w:rsid w:val="3F5D3A90"/>
    <w:rsid w:val="3F62125F"/>
    <w:rsid w:val="403121FF"/>
    <w:rsid w:val="4062066A"/>
    <w:rsid w:val="407368C8"/>
    <w:rsid w:val="40B73AB5"/>
    <w:rsid w:val="4135614F"/>
    <w:rsid w:val="41680D28"/>
    <w:rsid w:val="417C39FE"/>
    <w:rsid w:val="43016675"/>
    <w:rsid w:val="438851E9"/>
    <w:rsid w:val="440C3028"/>
    <w:rsid w:val="44783A97"/>
    <w:rsid w:val="44C921C2"/>
    <w:rsid w:val="44D87DF5"/>
    <w:rsid w:val="465C4313"/>
    <w:rsid w:val="466C4BC8"/>
    <w:rsid w:val="46956D84"/>
    <w:rsid w:val="48151B76"/>
    <w:rsid w:val="485338EE"/>
    <w:rsid w:val="48537A40"/>
    <w:rsid w:val="497620FA"/>
    <w:rsid w:val="49B42273"/>
    <w:rsid w:val="4B145B74"/>
    <w:rsid w:val="4B6122DB"/>
    <w:rsid w:val="4BA35F4D"/>
    <w:rsid w:val="4BDA0F44"/>
    <w:rsid w:val="4BE47217"/>
    <w:rsid w:val="4C3E728E"/>
    <w:rsid w:val="4CA6378D"/>
    <w:rsid w:val="4CFD02CC"/>
    <w:rsid w:val="4D047823"/>
    <w:rsid w:val="4D5B1C1D"/>
    <w:rsid w:val="4D6A1E23"/>
    <w:rsid w:val="4DAF1A75"/>
    <w:rsid w:val="4EC551B5"/>
    <w:rsid w:val="4EF1491B"/>
    <w:rsid w:val="4F411833"/>
    <w:rsid w:val="4F883A3E"/>
    <w:rsid w:val="4FA27242"/>
    <w:rsid w:val="502A0E06"/>
    <w:rsid w:val="50626915"/>
    <w:rsid w:val="514A2300"/>
    <w:rsid w:val="528F4D90"/>
    <w:rsid w:val="53742FD9"/>
    <w:rsid w:val="5389320A"/>
    <w:rsid w:val="53D82714"/>
    <w:rsid w:val="544A3AD1"/>
    <w:rsid w:val="545A473F"/>
    <w:rsid w:val="54AF77A9"/>
    <w:rsid w:val="54BA40ED"/>
    <w:rsid w:val="54BE3BCF"/>
    <w:rsid w:val="551B0526"/>
    <w:rsid w:val="556A0C44"/>
    <w:rsid w:val="55FF528F"/>
    <w:rsid w:val="56D2040E"/>
    <w:rsid w:val="56EA150B"/>
    <w:rsid w:val="56EF1E4A"/>
    <w:rsid w:val="57065B07"/>
    <w:rsid w:val="5797032F"/>
    <w:rsid w:val="580A284D"/>
    <w:rsid w:val="583E7E1A"/>
    <w:rsid w:val="589A4CFF"/>
    <w:rsid w:val="58BF74D3"/>
    <w:rsid w:val="58E449A8"/>
    <w:rsid w:val="59460290"/>
    <w:rsid w:val="59A721AB"/>
    <w:rsid w:val="59A97DEF"/>
    <w:rsid w:val="59DD727C"/>
    <w:rsid w:val="5A1857D0"/>
    <w:rsid w:val="5A5D4941"/>
    <w:rsid w:val="5AD2378E"/>
    <w:rsid w:val="5B067CAD"/>
    <w:rsid w:val="5B9215DB"/>
    <w:rsid w:val="5B940E96"/>
    <w:rsid w:val="5C3B4E87"/>
    <w:rsid w:val="5D080037"/>
    <w:rsid w:val="5D263D0A"/>
    <w:rsid w:val="5D4B329C"/>
    <w:rsid w:val="5E666F13"/>
    <w:rsid w:val="5F757EE5"/>
    <w:rsid w:val="5FB52A50"/>
    <w:rsid w:val="5FFD4C22"/>
    <w:rsid w:val="603959B2"/>
    <w:rsid w:val="60F85257"/>
    <w:rsid w:val="61B14D9F"/>
    <w:rsid w:val="61FE356D"/>
    <w:rsid w:val="63325B34"/>
    <w:rsid w:val="63343F15"/>
    <w:rsid w:val="634A4D97"/>
    <w:rsid w:val="635855D8"/>
    <w:rsid w:val="646C5D36"/>
    <w:rsid w:val="64CE20AE"/>
    <w:rsid w:val="6584015B"/>
    <w:rsid w:val="65E41AEF"/>
    <w:rsid w:val="66521F5A"/>
    <w:rsid w:val="66AA2EDF"/>
    <w:rsid w:val="66AB2A24"/>
    <w:rsid w:val="676D5B96"/>
    <w:rsid w:val="68A80FF3"/>
    <w:rsid w:val="68AE387E"/>
    <w:rsid w:val="692E74D2"/>
    <w:rsid w:val="69663530"/>
    <w:rsid w:val="69D71EDC"/>
    <w:rsid w:val="69DA6312"/>
    <w:rsid w:val="6A92153D"/>
    <w:rsid w:val="6B141514"/>
    <w:rsid w:val="6B223237"/>
    <w:rsid w:val="6B715CB5"/>
    <w:rsid w:val="6B7F241E"/>
    <w:rsid w:val="6D2A7FBB"/>
    <w:rsid w:val="6D3676DD"/>
    <w:rsid w:val="6D806CB8"/>
    <w:rsid w:val="6E026F15"/>
    <w:rsid w:val="6EB44FB0"/>
    <w:rsid w:val="6EFA2E85"/>
    <w:rsid w:val="6F056DE4"/>
    <w:rsid w:val="6F4268E5"/>
    <w:rsid w:val="6FD14EF3"/>
    <w:rsid w:val="6FE756CA"/>
    <w:rsid w:val="6FFD7F5B"/>
    <w:rsid w:val="706E310B"/>
    <w:rsid w:val="7165544F"/>
    <w:rsid w:val="719F7608"/>
    <w:rsid w:val="71B461F7"/>
    <w:rsid w:val="72505A33"/>
    <w:rsid w:val="73014EDB"/>
    <w:rsid w:val="730E052C"/>
    <w:rsid w:val="737C00F4"/>
    <w:rsid w:val="74342709"/>
    <w:rsid w:val="74AA5EE6"/>
    <w:rsid w:val="750622BD"/>
    <w:rsid w:val="75382D73"/>
    <w:rsid w:val="75922896"/>
    <w:rsid w:val="75F65932"/>
    <w:rsid w:val="764273DA"/>
    <w:rsid w:val="775748F9"/>
    <w:rsid w:val="77FC3DE2"/>
    <w:rsid w:val="78A96ECE"/>
    <w:rsid w:val="78ED6B92"/>
    <w:rsid w:val="790A07DA"/>
    <w:rsid w:val="795001C6"/>
    <w:rsid w:val="79A238AE"/>
    <w:rsid w:val="7A137E2E"/>
    <w:rsid w:val="7A276AF3"/>
    <w:rsid w:val="7A3366D9"/>
    <w:rsid w:val="7B664A99"/>
    <w:rsid w:val="7B9F3F40"/>
    <w:rsid w:val="7BFC2829"/>
    <w:rsid w:val="7D1C30F3"/>
    <w:rsid w:val="7D434E9D"/>
    <w:rsid w:val="7D6E1ED6"/>
    <w:rsid w:val="7D7F7F2F"/>
    <w:rsid w:val="7D8D49B9"/>
    <w:rsid w:val="7D9F7FE6"/>
    <w:rsid w:val="7E7012DB"/>
    <w:rsid w:val="7F2C60FA"/>
    <w:rsid w:val="7FB77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仿宋_GB2312"/>
      <w:kern w:val="2"/>
      <w:sz w:val="32"/>
      <w:szCs w:val="32"/>
      <w:lang w:val="en-US" w:eastAsia="zh-CN" w:bidi="ar-SA"/>
    </w:rPr>
  </w:style>
  <w:style w:type="paragraph" w:styleId="3">
    <w:name w:val="heading 2"/>
    <w:basedOn w:val="1"/>
    <w:next w:val="1"/>
    <w:unhideWhenUsed/>
    <w:qFormat/>
    <w:uiPriority w:val="9"/>
    <w:pPr>
      <w:keepNext/>
      <w:keepLines/>
      <w:ind w:left="300" w:leftChars="300"/>
      <w:outlineLvl w:val="1"/>
    </w:pPr>
    <w:rPr>
      <w:rFonts w:ascii="Cambria" w:hAnsi="Cambria" w:eastAsia="仿宋_GB2312" w:cs="Times New Roman"/>
      <w:b/>
      <w:bCs/>
      <w:sz w:val="32"/>
      <w:szCs w:val="32"/>
    </w:rPr>
  </w:style>
  <w:style w:type="paragraph" w:styleId="2">
    <w:name w:val="heading 5"/>
    <w:basedOn w:val="1"/>
    <w:next w:val="1"/>
    <w:unhideWhenUsed/>
    <w:qFormat/>
    <w:uiPriority w:val="0"/>
    <w:pPr>
      <w:keepNext/>
      <w:keepLines/>
      <w:spacing w:before="280" w:after="290" w:line="372" w:lineRule="auto"/>
      <w:outlineLvl w:val="4"/>
    </w:pPr>
    <w:rPr>
      <w:rFonts w:ascii="Times New Roman" w:hAnsi="Times New Roman" w:cs="Times New Roman"/>
      <w:b/>
      <w:bCs/>
      <w:sz w:val="28"/>
      <w:szCs w:val="28"/>
    </w:rPr>
  </w:style>
  <w:style w:type="character" w:default="1" w:styleId="15">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Calibri" w:hAnsi="Calibri"/>
      <w:sz w:val="20"/>
      <w:szCs w:val="20"/>
    </w:rPr>
  </w:style>
  <w:style w:type="paragraph" w:styleId="5">
    <w:name w:val="Body Text First Indent 2"/>
    <w:basedOn w:val="6"/>
    <w:next w:val="1"/>
    <w:qFormat/>
    <w:uiPriority w:val="0"/>
    <w:pPr>
      <w:ind w:firstLine="420" w:firstLineChars="200"/>
    </w:pPr>
  </w:style>
  <w:style w:type="paragraph" w:styleId="6">
    <w:name w:val="Body Text Indent"/>
    <w:basedOn w:val="1"/>
    <w:next w:val="7"/>
    <w:qFormat/>
    <w:uiPriority w:val="0"/>
    <w:pPr>
      <w:spacing w:after="120"/>
      <w:ind w:left="420" w:leftChars="20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annotation text"/>
    <w:basedOn w:val="1"/>
    <w:qFormat/>
    <w:uiPriority w:val="0"/>
    <w:pPr>
      <w:jc w:val="left"/>
    </w:pPr>
  </w:style>
  <w:style w:type="paragraph" w:styleId="9">
    <w:name w:val="Body Text"/>
    <w:basedOn w:val="1"/>
    <w:next w:val="6"/>
    <w:unhideWhenUsed/>
    <w:qFormat/>
    <w:uiPriority w:val="99"/>
    <w:pPr>
      <w:spacing w:after="12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FollowedHyperlink"/>
    <w:basedOn w:val="15"/>
    <w:qFormat/>
    <w:uiPriority w:val="0"/>
    <w:rPr>
      <w:color w:val="2490F8"/>
      <w:u w:val="none"/>
    </w:rPr>
  </w:style>
  <w:style w:type="character" w:styleId="17">
    <w:name w:val="Emphasis"/>
    <w:basedOn w:val="15"/>
    <w:qFormat/>
    <w:uiPriority w:val="0"/>
  </w:style>
  <w:style w:type="character" w:styleId="18">
    <w:name w:val="HTML Definition"/>
    <w:basedOn w:val="15"/>
    <w:qFormat/>
    <w:uiPriority w:val="0"/>
  </w:style>
  <w:style w:type="character" w:styleId="19">
    <w:name w:val="HTML Variable"/>
    <w:basedOn w:val="15"/>
    <w:qFormat/>
    <w:uiPriority w:val="0"/>
  </w:style>
  <w:style w:type="character" w:styleId="20">
    <w:name w:val="Hyperlink"/>
    <w:basedOn w:val="15"/>
    <w:qFormat/>
    <w:uiPriority w:val="0"/>
    <w:rPr>
      <w:color w:val="2490F8"/>
      <w:u w:val="none"/>
    </w:rPr>
  </w:style>
  <w:style w:type="character" w:styleId="21">
    <w:name w:val="HTML Code"/>
    <w:basedOn w:val="15"/>
    <w:qFormat/>
    <w:uiPriority w:val="0"/>
    <w:rPr>
      <w:rFonts w:hint="default" w:ascii="syIconfont" w:hAnsi="syIconfont" w:eastAsia="syIconfont" w:cs="syIconfont"/>
      <w:sz w:val="24"/>
      <w:szCs w:val="24"/>
    </w:rPr>
  </w:style>
  <w:style w:type="character" w:styleId="22">
    <w:name w:val="HTML Cite"/>
    <w:basedOn w:val="15"/>
    <w:qFormat/>
    <w:uiPriority w:val="0"/>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4">
    <w:name w:val="cdropright"/>
    <w:basedOn w:val="15"/>
    <w:qFormat/>
    <w:uiPriority w:val="0"/>
  </w:style>
  <w:style w:type="character" w:customStyle="1" w:styleId="25">
    <w:name w:val="first-child"/>
    <w:basedOn w:val="15"/>
    <w:qFormat/>
    <w:uiPriority w:val="0"/>
  </w:style>
  <w:style w:type="character" w:customStyle="1" w:styleId="26">
    <w:name w:val="after"/>
    <w:basedOn w:val="15"/>
    <w:qFormat/>
    <w:uiPriority w:val="0"/>
    <w:rPr>
      <w:sz w:val="0"/>
      <w:szCs w:val="0"/>
    </w:rPr>
  </w:style>
  <w:style w:type="character" w:customStyle="1" w:styleId="27">
    <w:name w:val="ico1654"/>
    <w:basedOn w:val="15"/>
    <w:qFormat/>
    <w:uiPriority w:val="0"/>
  </w:style>
  <w:style w:type="character" w:customStyle="1" w:styleId="28">
    <w:name w:val="ico1655"/>
    <w:basedOn w:val="15"/>
    <w:qFormat/>
    <w:uiPriority w:val="0"/>
  </w:style>
  <w:style w:type="character" w:customStyle="1" w:styleId="29">
    <w:name w:val="layui-layer-tabnow"/>
    <w:basedOn w:val="15"/>
    <w:qFormat/>
    <w:uiPriority w:val="0"/>
    <w:rPr>
      <w:bdr w:val="single" w:color="CCCCCC" w:sz="6" w:space="0"/>
      <w:shd w:val="clear" w:fill="FFFFFF"/>
    </w:rPr>
  </w:style>
  <w:style w:type="character" w:customStyle="1" w:styleId="30">
    <w:name w:val="icontext2"/>
    <w:basedOn w:val="15"/>
    <w:qFormat/>
    <w:uiPriority w:val="0"/>
  </w:style>
  <w:style w:type="character" w:customStyle="1" w:styleId="31">
    <w:name w:val="drapbtn"/>
    <w:basedOn w:val="15"/>
    <w:qFormat/>
    <w:uiPriority w:val="0"/>
  </w:style>
  <w:style w:type="character" w:customStyle="1" w:styleId="32">
    <w:name w:val="button"/>
    <w:basedOn w:val="15"/>
    <w:qFormat/>
    <w:uiPriority w:val="0"/>
  </w:style>
  <w:style w:type="character" w:customStyle="1" w:styleId="33">
    <w:name w:val="cy"/>
    <w:basedOn w:val="15"/>
    <w:qFormat/>
    <w:uiPriority w:val="0"/>
  </w:style>
  <w:style w:type="character" w:customStyle="1" w:styleId="34">
    <w:name w:val="active5"/>
    <w:basedOn w:val="15"/>
    <w:qFormat/>
    <w:uiPriority w:val="0"/>
    <w:rPr>
      <w:shd w:val="clear" w:fill="EC3535"/>
    </w:rPr>
  </w:style>
  <w:style w:type="character" w:customStyle="1" w:styleId="35">
    <w:name w:val="active6"/>
    <w:basedOn w:val="15"/>
    <w:qFormat/>
    <w:uiPriority w:val="0"/>
    <w:rPr>
      <w:color w:val="00FF00"/>
      <w:shd w:val="clear" w:fill="111111"/>
    </w:rPr>
  </w:style>
  <w:style w:type="character" w:customStyle="1" w:styleId="36">
    <w:name w:val="copytolefthover"/>
    <w:basedOn w:val="15"/>
    <w:qFormat/>
    <w:uiPriority w:val="0"/>
    <w:rPr>
      <w:vanish/>
    </w:rPr>
  </w:style>
  <w:style w:type="character" w:customStyle="1" w:styleId="37">
    <w:name w:val="w32"/>
    <w:basedOn w:val="15"/>
    <w:qFormat/>
    <w:uiPriority w:val="0"/>
  </w:style>
  <w:style w:type="character" w:customStyle="1" w:styleId="38">
    <w:name w:val="pagechatarealistclose_box"/>
    <w:basedOn w:val="15"/>
    <w:qFormat/>
    <w:uiPriority w:val="0"/>
  </w:style>
  <w:style w:type="character" w:customStyle="1" w:styleId="39">
    <w:name w:val="pagechatarealistclose_box1"/>
    <w:basedOn w:val="15"/>
    <w:qFormat/>
    <w:uiPriority w:val="0"/>
  </w:style>
  <w:style w:type="character" w:customStyle="1" w:styleId="40">
    <w:name w:val="associateddata"/>
    <w:basedOn w:val="15"/>
    <w:qFormat/>
    <w:uiPriority w:val="0"/>
    <w:rPr>
      <w:shd w:val="clear" w:fill="50A6F9"/>
    </w:rPr>
  </w:style>
  <w:style w:type="character" w:customStyle="1" w:styleId="41">
    <w:name w:val="icontext1"/>
    <w:basedOn w:val="15"/>
    <w:qFormat/>
    <w:uiPriority w:val="0"/>
  </w:style>
  <w:style w:type="character" w:customStyle="1" w:styleId="42">
    <w:name w:val="hover40"/>
    <w:basedOn w:val="15"/>
    <w:qFormat/>
    <w:uiPriority w:val="0"/>
    <w:rPr>
      <w:color w:val="2490F8"/>
    </w:rPr>
  </w:style>
  <w:style w:type="character" w:customStyle="1" w:styleId="43">
    <w:name w:val="tmpztreemove_arrow"/>
    <w:basedOn w:val="15"/>
    <w:qFormat/>
    <w:uiPriority w:val="0"/>
  </w:style>
  <w:style w:type="character" w:customStyle="1" w:styleId="44">
    <w:name w:val="iconline2"/>
    <w:basedOn w:val="15"/>
    <w:qFormat/>
    <w:uiPriority w:val="0"/>
  </w:style>
  <w:style w:type="character" w:customStyle="1" w:styleId="45">
    <w:name w:val="iconline21"/>
    <w:basedOn w:val="15"/>
    <w:qFormat/>
    <w:uiPriority w:val="0"/>
  </w:style>
  <w:style w:type="character" w:customStyle="1" w:styleId="46">
    <w:name w:val="cdropleft"/>
    <w:basedOn w:val="15"/>
    <w:qFormat/>
    <w:uiPriority w:val="0"/>
  </w:style>
  <w:style w:type="character" w:customStyle="1" w:styleId="47">
    <w:name w:val="icontext3"/>
    <w:basedOn w:val="15"/>
    <w:qFormat/>
    <w:uiPriority w:val="0"/>
  </w:style>
  <w:style w:type="character" w:customStyle="1" w:styleId="48">
    <w:name w:val="hilite5"/>
    <w:basedOn w:val="15"/>
    <w:qFormat/>
    <w:uiPriority w:val="0"/>
    <w:rPr>
      <w:color w:val="FFFFFF"/>
      <w:shd w:val="clear" w:fill="666666"/>
    </w:rPr>
  </w:style>
  <w:style w:type="character" w:customStyle="1" w:styleId="49">
    <w:name w:val="xdrichtextbox2"/>
    <w:basedOn w:val="15"/>
    <w:qFormat/>
    <w:uiPriority w:val="0"/>
  </w:style>
  <w:style w:type="character" w:customStyle="1" w:styleId="50">
    <w:name w:val="design_class"/>
    <w:basedOn w:val="15"/>
    <w:qFormat/>
    <w:uiPriority w:val="0"/>
  </w:style>
  <w:style w:type="character" w:customStyle="1" w:styleId="51">
    <w:name w:val="edit_class"/>
    <w:basedOn w:val="15"/>
    <w:qFormat/>
    <w:uiPriority w:val="0"/>
  </w:style>
  <w:style w:type="character" w:customStyle="1" w:styleId="52">
    <w:name w:val="biggerthanmax"/>
    <w:basedOn w:val="15"/>
    <w:qFormat/>
    <w:uiPriority w:val="0"/>
    <w:rPr>
      <w:shd w:val="clear" w:fill="FFFF00"/>
    </w:rPr>
  </w:style>
  <w:style w:type="character" w:customStyle="1" w:styleId="53">
    <w:name w:val="active"/>
    <w:basedOn w:val="15"/>
    <w:qFormat/>
    <w:uiPriority w:val="0"/>
    <w:rPr>
      <w:shd w:val="clear" w:fill="EC3535"/>
    </w:rPr>
  </w:style>
  <w:style w:type="paragraph" w:customStyle="1" w:styleId="54">
    <w:name w:val="Text + (Asian) 华文楷体"/>
    <w:basedOn w:val="9"/>
    <w:qFormat/>
    <w:uiPriority w:val="0"/>
    <w:pPr>
      <w:overflowPunct w:val="0"/>
      <w:autoSpaceDE w:val="0"/>
      <w:autoSpaceDN w:val="0"/>
      <w:adjustRightInd w:val="0"/>
      <w:spacing w:before="130" w:after="130"/>
      <w:textAlignment w:val="baseline"/>
    </w:pPr>
    <w:rPr>
      <w:rFonts w:ascii="Times New Roman"/>
      <w:szCs w:val="24"/>
      <w:lang w:val="en-GB"/>
    </w:rPr>
  </w:style>
  <w:style w:type="paragraph" w:customStyle="1" w:styleId="55">
    <w:name w:val="NormalIndent"/>
    <w:basedOn w:val="1"/>
    <w:qFormat/>
    <w:uiPriority w:val="0"/>
    <w:pPr>
      <w:ind w:firstLine="420" w:firstLineChars="200"/>
      <w:textAlignment w:val="baseline"/>
    </w:pPr>
  </w:style>
  <w:style w:type="character" w:customStyle="1" w:styleId="56">
    <w:name w:val="icontext11"/>
    <w:basedOn w:val="15"/>
    <w:qFormat/>
    <w:uiPriority w:val="0"/>
  </w:style>
  <w:style w:type="character" w:customStyle="1" w:styleId="57">
    <w:name w:val="icontext12"/>
    <w:basedOn w:val="15"/>
    <w:qFormat/>
    <w:uiPriority w:val="0"/>
  </w:style>
  <w:style w:type="character" w:customStyle="1" w:styleId="58">
    <w:name w:val="hover41"/>
    <w:basedOn w:val="15"/>
    <w:qFormat/>
    <w:uiPriority w:val="0"/>
    <w:rPr>
      <w:color w:val="2490F8"/>
    </w:rPr>
  </w:style>
  <w:style w:type="character" w:customStyle="1" w:styleId="59">
    <w:name w:val="ico1656"/>
    <w:basedOn w:val="15"/>
    <w:qFormat/>
    <w:uiPriority w:val="0"/>
  </w:style>
  <w:style w:type="character" w:customStyle="1" w:styleId="60">
    <w:name w:val="hilite6"/>
    <w:basedOn w:val="15"/>
    <w:qFormat/>
    <w:uiPriority w:val="0"/>
    <w:rPr>
      <w:color w:val="FFFFFF"/>
      <w:shd w:val="clear" w:fill="666666"/>
    </w:rPr>
  </w:style>
  <w:style w:type="character" w:customStyle="1" w:styleId="61">
    <w:name w:val="hilite"/>
    <w:basedOn w:val="15"/>
    <w:qFormat/>
    <w:uiPriority w:val="0"/>
    <w:rPr>
      <w:color w:val="FFFFFF"/>
      <w:shd w:val="clear" w:fill="666666"/>
    </w:rPr>
  </w:style>
  <w:style w:type="character" w:customStyle="1" w:styleId="62">
    <w:name w:val="active2"/>
    <w:basedOn w:val="15"/>
    <w:qFormat/>
    <w:uiPriority w:val="0"/>
    <w:rPr>
      <w:shd w:val="clear" w:fill="EC3535"/>
    </w:rPr>
  </w:style>
  <w:style w:type="character" w:customStyle="1" w:styleId="63">
    <w:name w:val="active3"/>
    <w:basedOn w:val="15"/>
    <w:qFormat/>
    <w:uiPriority w:val="0"/>
    <w:rPr>
      <w:color w:val="00FF00"/>
      <w:shd w:val="clear" w:fill="111111"/>
    </w:rPr>
  </w:style>
  <w:style w:type="character" w:customStyle="1" w:styleId="64">
    <w:name w:val="active1"/>
    <w:basedOn w:val="15"/>
    <w:qFormat/>
    <w:uiPriority w:val="0"/>
    <w:rPr>
      <w:color w:val="00FF00"/>
      <w:shd w:val="clear" w:fill="111111"/>
    </w:rPr>
  </w:style>
  <w:style w:type="character" w:customStyle="1" w:styleId="65">
    <w:name w:val="ico1653"/>
    <w:basedOn w:val="15"/>
    <w:qFormat/>
    <w:uiPriority w:val="0"/>
  </w:style>
  <w:style w:type="character" w:customStyle="1" w:styleId="66">
    <w:name w:val="hover39"/>
    <w:basedOn w:val="15"/>
    <w:qFormat/>
    <w:uiPriority w:val="0"/>
    <w:rPr>
      <w:color w:val="2490F8"/>
    </w:rPr>
  </w:style>
  <w:style w:type="character" w:customStyle="1" w:styleId="67">
    <w:name w:val="choosename"/>
    <w:basedOn w:val="15"/>
    <w:uiPriority w:val="0"/>
  </w:style>
  <w:style w:type="character" w:customStyle="1" w:styleId="68">
    <w:name w:val="left2"/>
    <w:basedOn w:val="15"/>
    <w:qFormat/>
    <w:uiPriority w:val="0"/>
    <w:rPr>
      <w:color w:val="666666"/>
      <w:sz w:val="21"/>
      <w:szCs w:val="21"/>
    </w:rPr>
  </w:style>
  <w:style w:type="character" w:customStyle="1" w:styleId="69">
    <w:name w:val="button6"/>
    <w:basedOn w:val="1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7594</Words>
  <Characters>8735</Characters>
  <Lines>0</Lines>
  <Paragraphs>0</Paragraphs>
  <TotalTime>5</TotalTime>
  <ScaleCrop>false</ScaleCrop>
  <LinksUpToDate>false</LinksUpToDate>
  <CharactersWithSpaces>8927</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2021-08-11T06:31:00Z</dcterms:created>
  <dc:creator>Lenovo</dc:creator>
  <cp:lastModifiedBy>赵峻仙</cp:lastModifiedBy>
  <cp:lastPrinted>2023-06-14T02:51:00Z</cp:lastPrinted>
  <dcterms:modified xsi:type="dcterms:W3CDTF">2024-04-22T07:09:37Z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312C8118CB8847DEA24552397BBD004E</vt:lpwstr>
  </property>
  <property fmtid="{D5CDD505-2E9C-101B-9397-08002B2CF9AE}" pid="4" name="commondata">
    <vt:lpwstr>eyJoZGlkIjoiMjAzMjZmYzQwMDZhMDk0MDJhMjM2MTVlNTRlYTZkMjMifQ==</vt:lpwstr>
  </property>
</Properties>
</file>